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5"/>
        <w:tblW w:w="9147" w:type="dxa"/>
        <w:tblInd w:w="-108" w:type="dxa"/>
        <w:tblBorders>
          <w:top w:val="single" w:sz="24" w:space="0" w:color="000000"/>
          <w:left w:val="nil"/>
          <w:bottom w:val="single" w:sz="24" w:space="0" w:color="000000"/>
          <w:right w:val="nil"/>
          <w:insideH w:val="single" w:sz="24" w:space="0" w:color="000000"/>
          <w:insideV w:val="single" w:sz="24" w:space="0" w:color="000000"/>
        </w:tblBorders>
        <w:tblLayout w:type="fixed"/>
        <w:tblLook w:val="0400" w:firstRow="0" w:lastRow="0" w:firstColumn="0" w:lastColumn="0" w:noHBand="0" w:noVBand="1"/>
      </w:tblPr>
      <w:tblGrid>
        <w:gridCol w:w="9147"/>
      </w:tblGrid>
      <w:tr w:rsidR="00FE0406" w:rsidRPr="00935C7F" w14:paraId="64B11CFC" w14:textId="77777777" w:rsidTr="008D480F">
        <w:trPr>
          <w:trHeight w:val="1485"/>
        </w:trPr>
        <w:tc>
          <w:tcPr>
            <w:tcW w:w="9147" w:type="dxa"/>
          </w:tcPr>
          <w:p w14:paraId="3D7C4D5F" w14:textId="77777777" w:rsidR="00FE0406" w:rsidRPr="00935C7F" w:rsidRDefault="005937A6">
            <w:pPr>
              <w:spacing w:before="240" w:after="240"/>
              <w:jc w:val="center"/>
              <w:rPr>
                <w:b/>
              </w:rPr>
            </w:pPr>
            <w:r w:rsidRPr="00935C7F">
              <w:rPr>
                <w:b/>
                <w:noProof/>
                <w:lang w:eastAsia="en-US"/>
              </w:rPr>
              <w:drawing>
                <wp:inline distT="0" distB="0" distL="0" distR="0" wp14:anchorId="7ADADC12" wp14:editId="1F6D181B">
                  <wp:extent cx="5667375" cy="657225"/>
                  <wp:effectExtent l="0" t="0" r="0" b="9525"/>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67375" cy="657225"/>
                          </a:xfrm>
                          <a:prstGeom prst="rect">
                            <a:avLst/>
                          </a:prstGeom>
                          <a:ln/>
                        </pic:spPr>
                      </pic:pic>
                    </a:graphicData>
                  </a:graphic>
                </wp:inline>
              </w:drawing>
            </w:r>
          </w:p>
        </w:tc>
      </w:tr>
    </w:tbl>
    <w:p w14:paraId="79B1E9D4" w14:textId="77777777" w:rsidR="00FE0406" w:rsidRPr="00935C7F" w:rsidRDefault="00FE0406">
      <w:pPr>
        <w:spacing w:after="0" w:line="240" w:lineRule="auto"/>
        <w:jc w:val="center"/>
        <w:rPr>
          <w:b/>
        </w:rPr>
      </w:pPr>
    </w:p>
    <w:p w14:paraId="590FDD56" w14:textId="6B5F93AD" w:rsidR="00FE0406" w:rsidRPr="00953FEC" w:rsidRDefault="007A3B40">
      <w:pPr>
        <w:spacing w:after="0" w:line="240" w:lineRule="auto"/>
        <w:jc w:val="center"/>
        <w:rPr>
          <w:rFonts w:ascii="Times New Roman" w:eastAsia="Times New Roman" w:hAnsi="Times New Roman" w:cs="Times New Roman"/>
          <w:sz w:val="28"/>
          <w:szCs w:val="28"/>
        </w:rPr>
      </w:pPr>
      <w:r w:rsidRPr="00953FEC">
        <w:rPr>
          <w:rFonts w:ascii="Times New Roman" w:eastAsia="Times New Roman" w:hAnsi="Times New Roman" w:cs="Times New Roman"/>
          <w:b/>
          <w:sz w:val="28"/>
          <w:szCs w:val="28"/>
        </w:rPr>
        <w:t>EXPLORING THE ROLE OF KEY AUDIT MATTERS DISCLOSURE</w:t>
      </w:r>
      <w:r w:rsidR="00953FEC">
        <w:rPr>
          <w:rFonts w:ascii="Times New Roman" w:eastAsia="Times New Roman" w:hAnsi="Times New Roman" w:cs="Times New Roman"/>
          <w:b/>
          <w:sz w:val="28"/>
          <w:szCs w:val="28"/>
          <w:lang w:val="id-ID"/>
        </w:rPr>
        <w:t xml:space="preserve">                 </w:t>
      </w:r>
      <w:r w:rsidRPr="00953FEC">
        <w:rPr>
          <w:rFonts w:ascii="Times New Roman" w:eastAsia="Times New Roman" w:hAnsi="Times New Roman" w:cs="Times New Roman"/>
          <w:b/>
          <w:sz w:val="28"/>
          <w:szCs w:val="28"/>
        </w:rPr>
        <w:t xml:space="preserve"> IN MITIGATING INVESTMENT RISK </w:t>
      </w:r>
    </w:p>
    <w:p w14:paraId="50AB0A34" w14:textId="77777777" w:rsidR="00FE0406" w:rsidRPr="00935C7F" w:rsidRDefault="00FE0406">
      <w:pPr>
        <w:spacing w:after="0" w:line="240" w:lineRule="auto"/>
        <w:jc w:val="center"/>
        <w:rPr>
          <w:sz w:val="24"/>
          <w:szCs w:val="24"/>
        </w:rPr>
      </w:pPr>
    </w:p>
    <w:p w14:paraId="4CB33E30" w14:textId="532D5CF1" w:rsidR="00FE0406" w:rsidRPr="00935C7F" w:rsidRDefault="007A3B40">
      <w:pPr>
        <w:spacing w:after="0" w:line="240" w:lineRule="auto"/>
        <w:rPr>
          <w:rFonts w:ascii="Times New Roman" w:eastAsia="Times New Roman" w:hAnsi="Times New Roman" w:cs="Times New Roman"/>
          <w:b/>
          <w:sz w:val="24"/>
          <w:szCs w:val="24"/>
        </w:rPr>
      </w:pPr>
      <w:r w:rsidRPr="00935C7F">
        <w:rPr>
          <w:rFonts w:ascii="Times New Roman" w:eastAsia="Times New Roman" w:hAnsi="Times New Roman" w:cs="Times New Roman"/>
          <w:b/>
          <w:sz w:val="24"/>
          <w:szCs w:val="24"/>
        </w:rPr>
        <w:t>R</w:t>
      </w:r>
      <w:r w:rsidR="00431708" w:rsidRPr="00935C7F">
        <w:rPr>
          <w:rFonts w:ascii="Times New Roman" w:eastAsia="Times New Roman" w:hAnsi="Times New Roman" w:cs="Times New Roman"/>
          <w:b/>
          <w:sz w:val="24"/>
          <w:szCs w:val="24"/>
        </w:rPr>
        <w:t xml:space="preserve">andy </w:t>
      </w:r>
      <w:r w:rsidRPr="00935C7F">
        <w:rPr>
          <w:rFonts w:ascii="Times New Roman" w:eastAsia="Times New Roman" w:hAnsi="Times New Roman" w:cs="Times New Roman"/>
          <w:b/>
          <w:sz w:val="24"/>
          <w:szCs w:val="24"/>
        </w:rPr>
        <w:t>K</w:t>
      </w:r>
      <w:r w:rsidR="00431708" w:rsidRPr="00935C7F">
        <w:rPr>
          <w:rFonts w:ascii="Times New Roman" w:eastAsia="Times New Roman" w:hAnsi="Times New Roman" w:cs="Times New Roman"/>
          <w:b/>
          <w:sz w:val="24"/>
          <w:szCs w:val="24"/>
        </w:rPr>
        <w:t>uswanto</w:t>
      </w:r>
      <w:r w:rsidR="005937A6" w:rsidRPr="00935C7F">
        <w:rPr>
          <w:rFonts w:ascii="Times New Roman" w:eastAsia="Times New Roman" w:hAnsi="Times New Roman" w:cs="Times New Roman"/>
          <w:b/>
          <w:sz w:val="24"/>
          <w:szCs w:val="24"/>
          <w:vertAlign w:val="superscript"/>
        </w:rPr>
        <w:t>1</w:t>
      </w:r>
      <w:r w:rsidR="00811ED6">
        <w:rPr>
          <w:rFonts w:ascii="Times New Roman" w:eastAsia="Times New Roman" w:hAnsi="Times New Roman" w:cs="Times New Roman"/>
          <w:b/>
          <w:sz w:val="24"/>
          <w:szCs w:val="24"/>
          <w:vertAlign w:val="superscript"/>
          <w:lang w:val="id-ID"/>
        </w:rPr>
        <w:t>*</w:t>
      </w:r>
      <w:r w:rsidR="005937A6" w:rsidRPr="00935C7F">
        <w:rPr>
          <w:rFonts w:ascii="Times New Roman" w:eastAsia="Times New Roman" w:hAnsi="Times New Roman" w:cs="Times New Roman"/>
          <w:b/>
          <w:sz w:val="24"/>
          <w:szCs w:val="24"/>
        </w:rPr>
        <w:t xml:space="preserve">, </w:t>
      </w:r>
      <w:r w:rsidRPr="00935C7F">
        <w:rPr>
          <w:rFonts w:ascii="Times New Roman" w:eastAsia="Times New Roman" w:hAnsi="Times New Roman" w:cs="Times New Roman"/>
          <w:b/>
          <w:sz w:val="24"/>
          <w:szCs w:val="24"/>
        </w:rPr>
        <w:t>A</w:t>
      </w:r>
      <w:r w:rsidR="00431708" w:rsidRPr="00935C7F">
        <w:rPr>
          <w:rFonts w:ascii="Times New Roman" w:eastAsia="Times New Roman" w:hAnsi="Times New Roman" w:cs="Times New Roman"/>
          <w:b/>
          <w:sz w:val="24"/>
          <w:szCs w:val="24"/>
        </w:rPr>
        <w:t>ngelita</w:t>
      </w:r>
      <w:r w:rsidR="005937A6" w:rsidRPr="00935C7F">
        <w:rPr>
          <w:rFonts w:ascii="Times New Roman" w:eastAsia="Times New Roman" w:hAnsi="Times New Roman" w:cs="Times New Roman"/>
          <w:b/>
          <w:sz w:val="24"/>
          <w:szCs w:val="24"/>
          <w:vertAlign w:val="superscript"/>
        </w:rPr>
        <w:t xml:space="preserve">2 </w:t>
      </w:r>
    </w:p>
    <w:p w14:paraId="1365945A" w14:textId="306401A5" w:rsidR="00FE0406" w:rsidRPr="00935C7F" w:rsidRDefault="00431708">
      <w:pPr>
        <w:spacing w:after="0" w:line="240" w:lineRule="auto"/>
        <w:rPr>
          <w:rFonts w:ascii="Times New Roman" w:eastAsia="Times New Roman" w:hAnsi="Times New Roman" w:cs="Times New Roman"/>
          <w:i/>
          <w:sz w:val="20"/>
          <w:szCs w:val="20"/>
        </w:rPr>
      </w:pPr>
      <w:r w:rsidRPr="00935C7F">
        <w:rPr>
          <w:rFonts w:ascii="Times New Roman" w:eastAsia="Times New Roman" w:hAnsi="Times New Roman" w:cs="Times New Roman"/>
          <w:i/>
          <w:sz w:val="20"/>
          <w:szCs w:val="20"/>
        </w:rPr>
        <w:t>Wiyatamandala School of Business</w:t>
      </w:r>
      <w:r w:rsidR="00706D1A">
        <w:rPr>
          <w:rFonts w:ascii="Times New Roman" w:eastAsia="Times New Roman" w:hAnsi="Times New Roman" w:cs="Times New Roman"/>
          <w:i/>
          <w:sz w:val="20"/>
          <w:szCs w:val="20"/>
          <w:lang w:val="id-ID"/>
        </w:rPr>
        <w:t xml:space="preserve"> </w:t>
      </w:r>
      <w:r w:rsidR="005937A6" w:rsidRPr="00935C7F">
        <w:rPr>
          <w:rFonts w:ascii="Times New Roman" w:eastAsia="Times New Roman" w:hAnsi="Times New Roman" w:cs="Times New Roman"/>
          <w:i/>
          <w:sz w:val="20"/>
          <w:szCs w:val="20"/>
          <w:vertAlign w:val="superscript"/>
        </w:rPr>
        <w:t>1</w:t>
      </w:r>
      <w:r w:rsidR="007A3B40" w:rsidRPr="00935C7F">
        <w:rPr>
          <w:rFonts w:ascii="Times New Roman" w:eastAsia="Times New Roman" w:hAnsi="Times New Roman" w:cs="Times New Roman"/>
          <w:i/>
          <w:sz w:val="20"/>
          <w:szCs w:val="20"/>
          <w:vertAlign w:val="superscript"/>
        </w:rPr>
        <w:t>,</w:t>
      </w:r>
      <w:r w:rsidR="005937A6" w:rsidRPr="00935C7F">
        <w:rPr>
          <w:rFonts w:ascii="Times New Roman" w:eastAsia="Times New Roman" w:hAnsi="Times New Roman" w:cs="Times New Roman"/>
          <w:i/>
          <w:sz w:val="20"/>
          <w:szCs w:val="20"/>
          <w:vertAlign w:val="superscript"/>
        </w:rPr>
        <w:t>2</w:t>
      </w:r>
      <w:r w:rsidR="005937A6" w:rsidRPr="00935C7F">
        <w:rPr>
          <w:rFonts w:ascii="Times New Roman" w:eastAsia="Times New Roman" w:hAnsi="Times New Roman" w:cs="Times New Roman"/>
          <w:i/>
          <w:sz w:val="20"/>
          <w:szCs w:val="20"/>
        </w:rPr>
        <w:t xml:space="preserve"> </w:t>
      </w:r>
    </w:p>
    <w:p w14:paraId="3AF8FD2A" w14:textId="595C1088" w:rsidR="00FE0406" w:rsidRDefault="005937A6">
      <w:pPr>
        <w:spacing w:after="0" w:line="240" w:lineRule="auto"/>
        <w:rPr>
          <w:rStyle w:val="Hyperlink"/>
          <w:rFonts w:ascii="Times New Roman" w:eastAsia="Times New Roman" w:hAnsi="Times New Roman" w:cs="Times New Roman"/>
          <w:sz w:val="20"/>
          <w:szCs w:val="20"/>
        </w:rPr>
      </w:pPr>
      <w:r w:rsidRPr="00935C7F">
        <w:rPr>
          <w:rFonts w:ascii="Times New Roman" w:eastAsia="Times New Roman" w:hAnsi="Times New Roman" w:cs="Times New Roman"/>
          <w:i/>
          <w:sz w:val="20"/>
          <w:szCs w:val="20"/>
          <w:vertAlign w:val="superscript"/>
        </w:rPr>
        <w:t>1</w:t>
      </w:r>
      <w:r w:rsidRPr="00935C7F">
        <w:rPr>
          <w:rFonts w:ascii="Times New Roman" w:eastAsia="Times New Roman" w:hAnsi="Times New Roman" w:cs="Times New Roman"/>
          <w:sz w:val="20"/>
          <w:szCs w:val="20"/>
        </w:rPr>
        <w:t xml:space="preserve">Corresponding author: </w:t>
      </w:r>
      <w:hyperlink r:id="rId10" w:history="1">
        <w:r w:rsidR="00431708" w:rsidRPr="00935C7F">
          <w:rPr>
            <w:rStyle w:val="Hyperlink"/>
            <w:rFonts w:ascii="Times New Roman" w:eastAsia="Times New Roman" w:hAnsi="Times New Roman" w:cs="Times New Roman"/>
            <w:sz w:val="20"/>
            <w:szCs w:val="20"/>
          </w:rPr>
          <w:t>randy@wym.ac.id</w:t>
        </w:r>
      </w:hyperlink>
    </w:p>
    <w:tbl>
      <w:tblPr>
        <w:tblStyle w:val="TableGrid"/>
        <w:tblW w:w="90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096"/>
      </w:tblGrid>
      <w:tr w:rsidR="008D480F" w:rsidRPr="00E00549" w14:paraId="33673C50" w14:textId="77777777" w:rsidTr="008E06BC">
        <w:trPr>
          <w:trHeight w:val="340"/>
        </w:trPr>
        <w:tc>
          <w:tcPr>
            <w:tcW w:w="2943" w:type="dxa"/>
            <w:tcBorders>
              <w:top w:val="single" w:sz="4" w:space="0" w:color="000000" w:themeColor="text1"/>
              <w:bottom w:val="single" w:sz="4" w:space="0" w:color="000000" w:themeColor="text1"/>
            </w:tcBorders>
            <w:vAlign w:val="center"/>
          </w:tcPr>
          <w:p w14:paraId="12FE2B0B" w14:textId="77777777" w:rsidR="008D480F" w:rsidRPr="00E00549" w:rsidRDefault="008D480F" w:rsidP="008E06BC">
            <w:pPr>
              <w:rPr>
                <w:rFonts w:ascii="Times New Roman" w:eastAsia="Times New Roman" w:hAnsi="Times New Roman"/>
                <w:b/>
                <w:bCs/>
                <w:sz w:val="20"/>
                <w:szCs w:val="20"/>
              </w:rPr>
            </w:pPr>
            <w:r w:rsidRPr="00E00549">
              <w:rPr>
                <w:rFonts w:ascii="Times New Roman" w:eastAsia="Times New Roman" w:hAnsi="Times New Roman"/>
                <w:b/>
                <w:bCs/>
                <w:smallCaps/>
                <w:color w:val="000000"/>
                <w:sz w:val="18"/>
                <w:szCs w:val="18"/>
              </w:rPr>
              <w:t>INFORMASI ARTIKEL</w:t>
            </w:r>
          </w:p>
        </w:tc>
        <w:tc>
          <w:tcPr>
            <w:tcW w:w="6096" w:type="dxa"/>
            <w:tcBorders>
              <w:top w:val="single" w:sz="4" w:space="0" w:color="000000" w:themeColor="text1"/>
              <w:bottom w:val="single" w:sz="4" w:space="0" w:color="000000" w:themeColor="text1"/>
            </w:tcBorders>
            <w:vAlign w:val="center"/>
          </w:tcPr>
          <w:p w14:paraId="3BC5EECF" w14:textId="77777777" w:rsidR="008D480F" w:rsidRPr="00E00549" w:rsidRDefault="008D480F" w:rsidP="008E06BC">
            <w:pPr>
              <w:rPr>
                <w:rFonts w:ascii="Times New Roman" w:eastAsia="Times New Roman" w:hAnsi="Times New Roman"/>
                <w:b/>
                <w:bCs/>
                <w:sz w:val="20"/>
                <w:szCs w:val="20"/>
              </w:rPr>
            </w:pPr>
            <w:r w:rsidRPr="00E00549">
              <w:rPr>
                <w:rFonts w:ascii="Times New Roman" w:eastAsia="Times New Roman" w:hAnsi="Times New Roman"/>
                <w:b/>
                <w:bCs/>
                <w:smallCaps/>
                <w:color w:val="000000"/>
                <w:sz w:val="18"/>
                <w:szCs w:val="18"/>
              </w:rPr>
              <w:t>ABSTRAK</w:t>
            </w:r>
          </w:p>
        </w:tc>
      </w:tr>
      <w:tr w:rsidR="008D480F" w:rsidRPr="00E00549" w14:paraId="1BBA364C" w14:textId="77777777" w:rsidTr="008E06BC">
        <w:tc>
          <w:tcPr>
            <w:tcW w:w="2943" w:type="dxa"/>
            <w:tcBorders>
              <w:top w:val="single" w:sz="4" w:space="0" w:color="000000" w:themeColor="text1"/>
            </w:tcBorders>
          </w:tcPr>
          <w:p w14:paraId="1A819CFC" w14:textId="77777777" w:rsidR="008D480F" w:rsidRPr="00356543" w:rsidRDefault="008D480F" w:rsidP="008E06BC">
            <w:pPr>
              <w:rPr>
                <w:rFonts w:ascii="Times New Roman" w:eastAsia="Times" w:hAnsi="Times New Roman" w:cs="Times"/>
                <w:i/>
                <w:color w:val="000000"/>
                <w:sz w:val="18"/>
                <w:szCs w:val="18"/>
              </w:rPr>
            </w:pPr>
            <w:r w:rsidRPr="00356543">
              <w:rPr>
                <w:rFonts w:ascii="Times New Roman" w:eastAsia="Times" w:hAnsi="Times New Roman" w:cs="Times"/>
                <w:i/>
                <w:color w:val="000000"/>
                <w:sz w:val="18"/>
                <w:szCs w:val="18"/>
              </w:rPr>
              <w:t>Article history:</w:t>
            </w:r>
          </w:p>
          <w:p w14:paraId="15ED7F38" w14:textId="77777777" w:rsidR="008D480F" w:rsidRPr="00356543" w:rsidRDefault="008D480F" w:rsidP="008D480F">
            <w:pPr>
              <w:rPr>
                <w:rFonts w:ascii="Times New Roman" w:eastAsia="Times" w:hAnsi="Times New Roman" w:cs="Times"/>
                <w:i/>
                <w:color w:val="000000"/>
                <w:sz w:val="18"/>
                <w:szCs w:val="18"/>
              </w:rPr>
            </w:pPr>
            <w:r w:rsidRPr="00356543">
              <w:rPr>
                <w:rFonts w:ascii="Times New Roman" w:eastAsia="Times" w:hAnsi="Times New Roman" w:cs="Times"/>
                <w:i/>
                <w:color w:val="000000"/>
                <w:sz w:val="18"/>
                <w:szCs w:val="18"/>
              </w:rPr>
              <w:t>Dikirim tanggal:19/03/2025</w:t>
            </w:r>
          </w:p>
          <w:p w14:paraId="53364F33" w14:textId="77777777" w:rsidR="008D480F" w:rsidRPr="00356543" w:rsidRDefault="008D480F" w:rsidP="008D480F">
            <w:pPr>
              <w:rPr>
                <w:rFonts w:ascii="Times New Roman" w:eastAsia="Times" w:hAnsi="Times New Roman" w:cs="Times"/>
                <w:i/>
                <w:color w:val="000000"/>
                <w:sz w:val="18"/>
                <w:szCs w:val="18"/>
              </w:rPr>
            </w:pPr>
            <w:r w:rsidRPr="00356543">
              <w:rPr>
                <w:rFonts w:ascii="Times New Roman" w:eastAsia="Times" w:hAnsi="Times New Roman" w:cs="Times"/>
                <w:i/>
                <w:color w:val="000000"/>
                <w:sz w:val="18"/>
                <w:szCs w:val="18"/>
              </w:rPr>
              <w:t>Revisi pertama tanggal: 26/04/2025</w:t>
            </w:r>
          </w:p>
          <w:p w14:paraId="658938C8" w14:textId="77777777" w:rsidR="008D480F" w:rsidRPr="00356543" w:rsidRDefault="008D480F" w:rsidP="008D480F">
            <w:pPr>
              <w:rPr>
                <w:rFonts w:ascii="Times New Roman" w:eastAsia="Times" w:hAnsi="Times New Roman" w:cs="Times"/>
                <w:i/>
                <w:color w:val="000000"/>
                <w:sz w:val="18"/>
                <w:szCs w:val="18"/>
              </w:rPr>
            </w:pPr>
            <w:r w:rsidRPr="00356543">
              <w:rPr>
                <w:rFonts w:ascii="Times New Roman" w:eastAsia="Times" w:hAnsi="Times New Roman" w:cs="Times"/>
                <w:i/>
                <w:color w:val="000000"/>
                <w:sz w:val="18"/>
                <w:szCs w:val="18"/>
              </w:rPr>
              <w:t>Diterima tanggal: 24/05/2025</w:t>
            </w:r>
          </w:p>
          <w:p w14:paraId="597887E1" w14:textId="5C544804" w:rsidR="008D480F" w:rsidRPr="00E00549" w:rsidRDefault="008D480F" w:rsidP="008D480F">
            <w:pPr>
              <w:rPr>
                <w:rFonts w:ascii="Times New Roman" w:eastAsia="Times New Roman" w:hAnsi="Times New Roman"/>
                <w:sz w:val="20"/>
                <w:szCs w:val="20"/>
              </w:rPr>
            </w:pPr>
            <w:r w:rsidRPr="00356543">
              <w:rPr>
                <w:rFonts w:ascii="Times New Roman" w:eastAsia="Times" w:hAnsi="Times New Roman" w:cs="Times"/>
                <w:i/>
                <w:color w:val="000000"/>
                <w:sz w:val="18"/>
                <w:szCs w:val="18"/>
              </w:rPr>
              <w:t>Tersedia online tanggal: 18/06/2025</w:t>
            </w:r>
          </w:p>
        </w:tc>
        <w:tc>
          <w:tcPr>
            <w:tcW w:w="6096" w:type="dxa"/>
            <w:tcBorders>
              <w:top w:val="single" w:sz="4" w:space="0" w:color="000000" w:themeColor="text1"/>
              <w:bottom w:val="single" w:sz="4" w:space="0" w:color="000000" w:themeColor="text1"/>
            </w:tcBorders>
          </w:tcPr>
          <w:p w14:paraId="580BF502" w14:textId="058DDDF0" w:rsidR="008D480F" w:rsidRPr="00C27AA2" w:rsidRDefault="008D480F" w:rsidP="008E06BC">
            <w:pPr>
              <w:jc w:val="both"/>
              <w:rPr>
                <w:rFonts w:ascii="Times New Roman" w:eastAsia="Times New Roman" w:hAnsi="Times New Roman"/>
                <w:color w:val="000000"/>
                <w:sz w:val="20"/>
                <w:szCs w:val="20"/>
              </w:rPr>
            </w:pPr>
            <w:r w:rsidRPr="008D480F">
              <w:rPr>
                <w:rFonts w:ascii="Times New Roman" w:eastAsia="Times New Roman" w:hAnsi="Times New Roman"/>
                <w:color w:val="000000"/>
                <w:sz w:val="20"/>
                <w:szCs w:val="20"/>
              </w:rPr>
              <w:t>Penelitian ini mengkaji dampak pengungkapan Key Audit Matters (KAM) terhadap risiko investasi dalam konteks transparansi audit Indonesia yang terus berkembang. Penelitian ini dilatarbelakangi oleh implementasi SA701 yang mewajibkan pengungkapan KAM dalam laporan audit. Tujuan penelitian ini adalah untuk menyelidiki bagaimana berbagai aspek pengungkapan KAM memengaruhi persepsi risiko investor. Dengan menggunakan pendekatan kuantitatif, kami menganalisis data lebih dari 700.000 data terkait saham dan 1.358 observasi pada seluruh perusahaan yang terdaftar di Bursa Efek Indonesia (BEI) periode 2022-2023. Hasil analisis regresi menunjukkan bahwa pengungkapan KAM yang mendalam (KAM2) secara signifikan mengurangi risiko investasi, sementara jumlah KAM yang diungkapkan (KAM1) dan informasi moneter (KAM3) tidak menunjukkan efek signifikan. Temuan ini menegaskan pentingnya pengungkapan audit yang kontekstual dan komprehensif dalam mengurangi asimetri informasi. Penelitian ini memberikan kontribusi literatur dengan menekankan peran transparansi audit di pasar berkembang serta menyajikan rekomendasi praktis bagi regulator untuk meningkatkan standar pelaporan KAM.</w:t>
            </w:r>
          </w:p>
          <w:p w14:paraId="2275C95A" w14:textId="4290F59C" w:rsidR="008D480F" w:rsidRPr="008D480F" w:rsidRDefault="008D480F" w:rsidP="00C27AA2">
            <w:pPr>
              <w:tabs>
                <w:tab w:val="left" w:pos="1171"/>
              </w:tabs>
              <w:spacing w:before="120" w:after="120"/>
              <w:ind w:left="1174" w:hanging="1174"/>
              <w:jc w:val="both"/>
              <w:rPr>
                <w:rFonts w:ascii="Times New Roman" w:eastAsia="Times New Roman" w:hAnsi="Times New Roman"/>
                <w:color w:val="000000"/>
                <w:sz w:val="20"/>
                <w:szCs w:val="20"/>
              </w:rPr>
            </w:pPr>
            <w:r w:rsidRPr="00E00549">
              <w:rPr>
                <w:rFonts w:ascii="Times New Roman" w:eastAsia="Times New Roman" w:hAnsi="Times New Roman"/>
                <w:color w:val="000000"/>
                <w:sz w:val="20"/>
                <w:szCs w:val="20"/>
              </w:rPr>
              <w:t xml:space="preserve">Kata Kunci: </w:t>
            </w:r>
            <w:r w:rsidRPr="00E00549">
              <w:rPr>
                <w:rFonts w:ascii="Times New Roman" w:hAnsi="Times New Roman"/>
              </w:rPr>
              <w:t xml:space="preserve"> </w:t>
            </w:r>
            <w:r>
              <w:rPr>
                <w:rFonts w:ascii="Times New Roman" w:hAnsi="Times New Roman"/>
              </w:rPr>
              <w:tab/>
            </w:r>
            <w:r w:rsidRPr="008D480F">
              <w:rPr>
                <w:rFonts w:ascii="Times New Roman" w:eastAsia="Times New Roman" w:hAnsi="Times New Roman"/>
                <w:color w:val="000000"/>
                <w:sz w:val="20"/>
                <w:szCs w:val="20"/>
              </w:rPr>
              <w:t>SA701, KAM, risiko investasi, laporan auditor independen, IDX</w:t>
            </w:r>
          </w:p>
        </w:tc>
      </w:tr>
      <w:tr w:rsidR="008D480F" w:rsidRPr="00E00549" w14:paraId="6F175880" w14:textId="77777777" w:rsidTr="008E06BC">
        <w:trPr>
          <w:trHeight w:val="340"/>
        </w:trPr>
        <w:tc>
          <w:tcPr>
            <w:tcW w:w="2943" w:type="dxa"/>
          </w:tcPr>
          <w:p w14:paraId="51C1C8B7" w14:textId="77777777" w:rsidR="008D480F" w:rsidRPr="00E00549" w:rsidRDefault="008D480F" w:rsidP="008E06BC">
            <w:pPr>
              <w:rPr>
                <w:rFonts w:ascii="Times New Roman" w:eastAsia="Times New Roman" w:hAnsi="Times New Roman"/>
                <w:sz w:val="20"/>
                <w:szCs w:val="20"/>
              </w:rPr>
            </w:pPr>
          </w:p>
        </w:tc>
        <w:tc>
          <w:tcPr>
            <w:tcW w:w="6096" w:type="dxa"/>
            <w:tcBorders>
              <w:top w:val="single" w:sz="4" w:space="0" w:color="000000" w:themeColor="text1"/>
              <w:bottom w:val="single" w:sz="4" w:space="0" w:color="000000" w:themeColor="text1"/>
            </w:tcBorders>
            <w:vAlign w:val="center"/>
          </w:tcPr>
          <w:p w14:paraId="123DFCC9" w14:textId="77777777" w:rsidR="008D480F" w:rsidRPr="00E00549" w:rsidRDefault="008D480F" w:rsidP="008E06BC">
            <w:pPr>
              <w:rPr>
                <w:rFonts w:ascii="Times New Roman" w:eastAsia="Times New Roman" w:hAnsi="Times New Roman"/>
                <w:b/>
                <w:bCs/>
                <w:sz w:val="20"/>
                <w:szCs w:val="20"/>
              </w:rPr>
            </w:pPr>
            <w:r w:rsidRPr="00E00549">
              <w:rPr>
                <w:rFonts w:ascii="Times New Roman" w:eastAsia="Times New Roman" w:hAnsi="Times New Roman"/>
                <w:b/>
                <w:bCs/>
                <w:smallCaps/>
                <w:color w:val="000000"/>
                <w:sz w:val="18"/>
                <w:szCs w:val="18"/>
              </w:rPr>
              <w:t>ABSTRACT</w:t>
            </w:r>
          </w:p>
        </w:tc>
      </w:tr>
      <w:tr w:rsidR="008D480F" w:rsidRPr="00E00549" w14:paraId="4E6DB793" w14:textId="77777777" w:rsidTr="008E06BC">
        <w:tc>
          <w:tcPr>
            <w:tcW w:w="2943" w:type="dxa"/>
          </w:tcPr>
          <w:p w14:paraId="6DAB0A27" w14:textId="77777777" w:rsidR="008D480F" w:rsidRPr="00E00549" w:rsidRDefault="008D480F" w:rsidP="008E06BC">
            <w:pPr>
              <w:rPr>
                <w:rFonts w:ascii="Times New Roman" w:eastAsia="Times New Roman" w:hAnsi="Times New Roman"/>
                <w:sz w:val="20"/>
                <w:szCs w:val="20"/>
              </w:rPr>
            </w:pPr>
          </w:p>
        </w:tc>
        <w:tc>
          <w:tcPr>
            <w:tcW w:w="6096" w:type="dxa"/>
            <w:tcBorders>
              <w:top w:val="single" w:sz="4" w:space="0" w:color="000000" w:themeColor="text1"/>
            </w:tcBorders>
          </w:tcPr>
          <w:p w14:paraId="55B16A7C" w14:textId="31BDD8E7" w:rsidR="008D480F" w:rsidRDefault="008D480F" w:rsidP="008E06BC">
            <w:pPr>
              <w:pBdr>
                <w:top w:val="nil"/>
                <w:left w:val="nil"/>
                <w:bottom w:val="nil"/>
                <w:right w:val="nil"/>
                <w:between w:val="nil"/>
              </w:pBdr>
              <w:jc w:val="both"/>
              <w:rPr>
                <w:rFonts w:ascii="Times New Roman" w:eastAsia="Times New Roman" w:hAnsi="Times New Roman"/>
                <w:color w:val="000000"/>
                <w:sz w:val="20"/>
                <w:szCs w:val="20"/>
              </w:rPr>
            </w:pPr>
            <w:r w:rsidRPr="008D480F">
              <w:rPr>
                <w:rFonts w:ascii="Times New Roman" w:eastAsia="Times New Roman" w:hAnsi="Times New Roman"/>
                <w:color w:val="000000"/>
                <w:sz w:val="20"/>
                <w:szCs w:val="20"/>
              </w:rPr>
              <w:t>This study examines the impact of Key Audit Matters (KAM) disclosures on investment risk in the context of Indonesia’s evolving audit transparency landscape. The research is motivated by the implementation of SA701, which requires KAM disclosures in audit reports. The purpose of this study is to investigate how different aspects of KAM disclosures influence investor perceptions of risk. Using a quantitative approach, we analyze data from more than 700,000 stock data points and 1,358 firm-year observations of companies listed on the Indonesia Stock Exchange (IDX) from 2022 to 2023. Regression analysis reveals that detailed KAM disclosures (KAM2) significantly reduce investment risk, while the number of KAM disclosed (KAM1) and monetary information (KAM3) show no significant effect. These findings highlight the importance of contextual and thorough audit disclosures in reducing information asymmetry. The study contributes to the literature by emphasizing the role of audit transparency in emerging markets and provides practical recommendations for regulators to enhance KAM reporting standards.</w:t>
            </w:r>
          </w:p>
          <w:p w14:paraId="660E5207" w14:textId="17E9E5C8" w:rsidR="008D480F" w:rsidRPr="00C27AA2" w:rsidRDefault="008D480F" w:rsidP="00C27AA2">
            <w:pPr>
              <w:tabs>
                <w:tab w:val="left" w:pos="888"/>
              </w:tabs>
              <w:spacing w:before="120" w:after="120"/>
              <w:ind w:left="890" w:hanging="890"/>
              <w:jc w:val="both"/>
              <w:rPr>
                <w:rFonts w:ascii="Times New Roman" w:hAnsi="Times New Roman"/>
                <w:bCs/>
                <w:sz w:val="20"/>
                <w:szCs w:val="20"/>
              </w:rPr>
            </w:pPr>
            <w:r w:rsidRPr="004E383F">
              <w:rPr>
                <w:rFonts w:ascii="Times New Roman" w:eastAsia="Times New Roman" w:hAnsi="Times New Roman"/>
                <w:color w:val="000000"/>
                <w:sz w:val="20"/>
                <w:szCs w:val="20"/>
              </w:rPr>
              <w:t>Keywords:</w:t>
            </w:r>
            <w:r w:rsidRPr="004E383F">
              <w:rPr>
                <w:rFonts w:ascii="Times New Roman" w:hAnsi="Times New Roman"/>
                <w:bCs/>
                <w:sz w:val="20"/>
                <w:szCs w:val="20"/>
              </w:rPr>
              <w:t xml:space="preserve"> SA701, KAM, investment risk, IDX, audit report</w:t>
            </w:r>
          </w:p>
        </w:tc>
      </w:tr>
    </w:tbl>
    <w:p w14:paraId="56F4F7A1" w14:textId="234756CF" w:rsidR="00FE0406" w:rsidRPr="00935C7F" w:rsidRDefault="007A3B40" w:rsidP="00686421">
      <w:pPr>
        <w:numPr>
          <w:ilvl w:val="0"/>
          <w:numId w:val="1"/>
        </w:numPr>
        <w:pBdr>
          <w:top w:val="nil"/>
          <w:left w:val="nil"/>
          <w:bottom w:val="nil"/>
          <w:right w:val="nil"/>
          <w:between w:val="nil"/>
        </w:pBdr>
        <w:spacing w:after="0"/>
        <w:ind w:left="426" w:hanging="426"/>
        <w:jc w:val="both"/>
        <w:rPr>
          <w:rFonts w:ascii="Times New Roman" w:eastAsia="Times New Roman" w:hAnsi="Times New Roman" w:cs="Times New Roman"/>
          <w:b/>
          <w:color w:val="000000"/>
          <w:sz w:val="24"/>
          <w:szCs w:val="24"/>
        </w:rPr>
      </w:pPr>
      <w:r w:rsidRPr="00935C7F">
        <w:rPr>
          <w:rFonts w:ascii="Times New Roman" w:eastAsia="Times New Roman" w:hAnsi="Times New Roman" w:cs="Times New Roman"/>
          <w:b/>
          <w:color w:val="000000"/>
          <w:sz w:val="24"/>
          <w:szCs w:val="24"/>
        </w:rPr>
        <w:lastRenderedPageBreak/>
        <w:t>Introduction</w:t>
      </w:r>
    </w:p>
    <w:p w14:paraId="4E1D3836" w14:textId="079FF521" w:rsidR="007A3B40" w:rsidRPr="00935C7F" w:rsidRDefault="00467747" w:rsidP="00686421">
      <w:pPr>
        <w:spacing w:after="0"/>
        <w:ind w:firstLine="426"/>
        <w:jc w:val="both"/>
        <w:rPr>
          <w:rFonts w:ascii="Times New Roman" w:eastAsia="Times New Roman" w:hAnsi="Times New Roman" w:cs="Times New Roman"/>
          <w:sz w:val="24"/>
          <w:szCs w:val="24"/>
        </w:rPr>
      </w:pPr>
      <w:r w:rsidRPr="00935C7F">
        <w:rPr>
          <w:rFonts w:ascii="Times New Roman" w:eastAsia="Times New Roman" w:hAnsi="Times New Roman" w:cs="Times New Roman"/>
          <w:sz w:val="24"/>
          <w:szCs w:val="24"/>
        </w:rPr>
        <w:t>The implementation of </w:t>
      </w:r>
      <w:r w:rsidRPr="00935C7F">
        <w:rPr>
          <w:rFonts w:ascii="Times New Roman" w:eastAsia="Times New Roman" w:hAnsi="Times New Roman" w:cs="Times New Roman"/>
          <w:i/>
          <w:iCs/>
          <w:sz w:val="24"/>
          <w:szCs w:val="24"/>
        </w:rPr>
        <w:t>Standar</w:t>
      </w:r>
      <w:r w:rsidR="00706D1A">
        <w:rPr>
          <w:rFonts w:ascii="Times New Roman" w:eastAsia="Times New Roman" w:hAnsi="Times New Roman" w:cs="Times New Roman"/>
          <w:i/>
          <w:iCs/>
          <w:sz w:val="24"/>
          <w:szCs w:val="24"/>
        </w:rPr>
        <w:t>d</w:t>
      </w:r>
      <w:r w:rsidRPr="00935C7F">
        <w:rPr>
          <w:rFonts w:ascii="Times New Roman" w:eastAsia="Times New Roman" w:hAnsi="Times New Roman" w:cs="Times New Roman"/>
          <w:i/>
          <w:iCs/>
          <w:sz w:val="24"/>
          <w:szCs w:val="24"/>
        </w:rPr>
        <w:t xml:space="preserve"> Audit 701 (SA 701)</w:t>
      </w:r>
      <w:r w:rsidRPr="00935C7F">
        <w:rPr>
          <w:rFonts w:ascii="Times New Roman" w:eastAsia="Times New Roman" w:hAnsi="Times New Roman" w:cs="Times New Roman"/>
          <w:sz w:val="24"/>
          <w:szCs w:val="24"/>
        </w:rPr>
        <w:t>—the Indonesian adoption of </w:t>
      </w:r>
      <w:r w:rsidRPr="00935C7F">
        <w:rPr>
          <w:rFonts w:ascii="Times New Roman" w:eastAsia="Times New Roman" w:hAnsi="Times New Roman" w:cs="Times New Roman"/>
          <w:i/>
          <w:iCs/>
          <w:sz w:val="24"/>
          <w:szCs w:val="24"/>
        </w:rPr>
        <w:t>International Standard on Auditing (ISA) 701</w:t>
      </w:r>
      <w:r w:rsidRPr="00935C7F">
        <w:rPr>
          <w:rFonts w:ascii="Times New Roman" w:eastAsia="Times New Roman" w:hAnsi="Times New Roman" w:cs="Times New Roman"/>
          <w:sz w:val="24"/>
          <w:szCs w:val="24"/>
        </w:rPr>
        <w:t>—</w:t>
      </w:r>
      <w:r w:rsidR="007A3B40" w:rsidRPr="00935C7F">
        <w:rPr>
          <w:rFonts w:ascii="Times New Roman" w:eastAsia="Times New Roman" w:hAnsi="Times New Roman" w:cs="Times New Roman"/>
          <w:sz w:val="24"/>
          <w:szCs w:val="24"/>
        </w:rPr>
        <w:t>which focuses on the disclosure of Key Audit Matters (</w:t>
      </w:r>
      <w:r w:rsidR="00BE4252" w:rsidRPr="00935C7F">
        <w:rPr>
          <w:rFonts w:ascii="Times New Roman" w:eastAsia="Times New Roman" w:hAnsi="Times New Roman" w:cs="Times New Roman"/>
          <w:sz w:val="24"/>
          <w:szCs w:val="24"/>
        </w:rPr>
        <w:t>KAM</w:t>
      </w:r>
      <w:r w:rsidR="007A3B40" w:rsidRPr="00935C7F">
        <w:rPr>
          <w:rFonts w:ascii="Times New Roman" w:eastAsia="Times New Roman" w:hAnsi="Times New Roman" w:cs="Times New Roman"/>
          <w:sz w:val="24"/>
          <w:szCs w:val="24"/>
        </w:rPr>
        <w:t xml:space="preserve">) in auditor reports, is a significant development in enhancing audit quality and transparency in financial reporting. This standard aims to improve communication between auditors and stakeholders, thereby fostering greater accountability and trust in financial statements. The implementation of SA 701 in Indonesia became effective on January 1, 2022, marking a significant shift in the country's audit reporting practices. The introduction </w:t>
      </w:r>
      <w:r w:rsidR="006B01CD">
        <w:rPr>
          <w:rFonts w:ascii="Times New Roman" w:eastAsia="Times New Roman" w:hAnsi="Times New Roman" w:cs="Times New Roman"/>
          <w:sz w:val="24"/>
          <w:szCs w:val="24"/>
        </w:rPr>
        <w:t xml:space="preserve">of </w:t>
      </w:r>
      <w:r w:rsidRPr="00935C7F">
        <w:rPr>
          <w:rFonts w:ascii="Times New Roman" w:eastAsia="Times New Roman" w:hAnsi="Times New Roman" w:cs="Times New Roman"/>
          <w:sz w:val="24"/>
          <w:szCs w:val="24"/>
        </w:rPr>
        <w:t>this standard</w:t>
      </w:r>
      <w:r w:rsidR="007A3B40" w:rsidRPr="00935C7F">
        <w:rPr>
          <w:rFonts w:ascii="Times New Roman" w:eastAsia="Times New Roman" w:hAnsi="Times New Roman" w:cs="Times New Roman"/>
          <w:sz w:val="24"/>
          <w:szCs w:val="24"/>
        </w:rPr>
        <w:t xml:space="preserve"> aims to enhance the clarity and usefulness of audit opinions by requiring the disclosure of </w:t>
      </w:r>
      <w:r w:rsidR="00BE4252" w:rsidRPr="00935C7F">
        <w:rPr>
          <w:rFonts w:ascii="Times New Roman" w:eastAsia="Times New Roman" w:hAnsi="Times New Roman" w:cs="Times New Roman"/>
          <w:sz w:val="24"/>
          <w:szCs w:val="24"/>
        </w:rPr>
        <w:t>KAM</w:t>
      </w:r>
      <w:r w:rsidR="007A3B40" w:rsidRPr="00935C7F">
        <w:rPr>
          <w:rFonts w:ascii="Times New Roman" w:eastAsia="Times New Roman" w:hAnsi="Times New Roman" w:cs="Times New Roman"/>
          <w:sz w:val="24"/>
          <w:szCs w:val="24"/>
        </w:rPr>
        <w:t xml:space="preserve">, a change that is expected to influence investor decision-making and improve the overall audit process in the country. The communication of </w:t>
      </w:r>
      <w:r w:rsidR="00BE4252" w:rsidRPr="00935C7F">
        <w:rPr>
          <w:rFonts w:ascii="Times New Roman" w:eastAsia="Times New Roman" w:hAnsi="Times New Roman" w:cs="Times New Roman"/>
          <w:sz w:val="24"/>
          <w:szCs w:val="24"/>
        </w:rPr>
        <w:t>KAM</w:t>
      </w:r>
      <w:r w:rsidR="007A3B40" w:rsidRPr="00935C7F">
        <w:rPr>
          <w:rFonts w:ascii="Times New Roman" w:eastAsia="Times New Roman" w:hAnsi="Times New Roman" w:cs="Times New Roman"/>
          <w:sz w:val="24"/>
          <w:szCs w:val="24"/>
        </w:rPr>
        <w:t xml:space="preserve"> provides investors with insights into the critical aspects of a company’s financial health, which can influence their investment decisions. Research indicates that the disclosure of </w:t>
      </w:r>
      <w:r w:rsidR="00BE4252" w:rsidRPr="00935C7F">
        <w:rPr>
          <w:rFonts w:ascii="Times New Roman" w:eastAsia="Times New Roman" w:hAnsi="Times New Roman" w:cs="Times New Roman"/>
          <w:sz w:val="24"/>
          <w:szCs w:val="24"/>
        </w:rPr>
        <w:t>KAM</w:t>
      </w:r>
      <w:r w:rsidR="007A3B40" w:rsidRPr="00935C7F">
        <w:rPr>
          <w:rFonts w:ascii="Times New Roman" w:eastAsia="Times New Roman" w:hAnsi="Times New Roman" w:cs="Times New Roman"/>
          <w:sz w:val="24"/>
          <w:szCs w:val="24"/>
        </w:rPr>
        <w:t xml:space="preserve"> can significantly impact the quality of financial information, thereby enhancing investor confidence in the reported financial statements </w:t>
      </w:r>
      <w:r w:rsidR="007A3B40" w:rsidRPr="00935C7F">
        <w:rPr>
          <w:rFonts w:ascii="Times New Roman" w:eastAsia="Times New Roman" w:hAnsi="Times New Roman" w:cs="Times New Roman"/>
          <w:sz w:val="24"/>
          <w:szCs w:val="24"/>
        </w:rPr>
        <w:fldChar w:fldCharType="begin"/>
      </w:r>
      <w:r w:rsidR="00333370" w:rsidRPr="00935C7F">
        <w:rPr>
          <w:rFonts w:ascii="Times New Roman" w:eastAsia="Times New Roman" w:hAnsi="Times New Roman" w:cs="Times New Roman"/>
          <w:sz w:val="24"/>
          <w:szCs w:val="24"/>
        </w:rPr>
        <w:instrText xml:space="preserve"> ADDIN ZOTERO_ITEM CSL_CITATION {"citationID":"a9tcn549a8","properties":{"formattedCitation":"(Gold &amp; Heilmann, 2019; Matta &amp; Feghali, 2021; Yue, 2022)","plainCitation":"(Gold &amp; Heilmann, 2019; Matta &amp; Feghali, 2021; Yue, 2022)","noteIndex":0},"citationItems":[{"id":649,"uris":["http://zotero.org/users/10852507/items/NFA2MC62"],"itemData":{"id":649,"type":"article-journal","container-title":"Maandblad Voor Accountancy en Bedrijfseconomie","DOI":"10.5117/mab.93.29496","issue":"1/2","journalAbbreviation":"Maandblad Voor Accountancy en Bedrijfseconomie","page":"5-14","title":"The Consequences of Disclosing Key Audit Matters (KAMs): A Review of the Academic Literature","volume":"93","author":[{"family":"Gold","given":"Anna"},{"family":"Heilmann","given":"Melina"}],"issued":{"date-parts":[["2019"]]}}},{"id":647,"uris":["http://zotero.org/users/10852507/items/RYRVMVN7"],"itemData":{"id":647,"type":"article-journal","container-title":"Indonesian Management and Accounting Research","DOI":"10.25105/imar.v19i2.7328","issue":"2","journalAbbreviation":"Indonesian Management and Accounting Research","page":"135-162","title":"The Impact of Key Audit Matters (KAMs) on Financial Information Quality: Evidence From Lebanon","volume":"19","author":[{"family":"Matta","given":"Joëlle"},{"family":"Feghali","given":"Khalil"}],"issued":{"date-parts":[["2021"]]}}},{"id":648,"uris":["http://zotero.org/users/10852507/items/YCW2EVG2"],"itemData":{"id":648,"type":"article-journal","container-title":"BCP Business &amp; Management","DOI":"10.54691/bcpbm.v20i.1026","journalAbbreviation":"BCP Business &amp; Management","page":"519-524","title":"Empirical Study on the Impact of Key Audit Disclosure on Stock Price in Audit Reports","volume":"20","author":[{"family":"Yue","given":"Yingying"}],"issued":{"date-parts":[["2022"]]}}}],"schema":"https://github.com/citation-style-language/schema/raw/master/csl-citation.json"} </w:instrText>
      </w:r>
      <w:r w:rsidR="007A3B40" w:rsidRPr="00935C7F">
        <w:rPr>
          <w:rFonts w:ascii="Times New Roman" w:eastAsia="Times New Roman" w:hAnsi="Times New Roman" w:cs="Times New Roman"/>
          <w:sz w:val="24"/>
          <w:szCs w:val="24"/>
        </w:rPr>
        <w:fldChar w:fldCharType="separate"/>
      </w:r>
      <w:r w:rsidR="00333370" w:rsidRPr="00935C7F">
        <w:rPr>
          <w:rFonts w:ascii="Times New Roman" w:hAnsi="Times New Roman" w:cs="Times New Roman"/>
          <w:sz w:val="24"/>
        </w:rPr>
        <w:t>(</w:t>
      </w:r>
      <w:hyperlink w:anchor="Gold" w:history="1">
        <w:r w:rsidR="00333370" w:rsidRPr="00935C7F">
          <w:rPr>
            <w:rStyle w:val="Hyperlink"/>
            <w:rFonts w:ascii="Times New Roman" w:hAnsi="Times New Roman" w:cs="Times New Roman"/>
            <w:sz w:val="24"/>
            <w:u w:val="none"/>
          </w:rPr>
          <w:t>Gold &amp; Heilmann, 2019</w:t>
        </w:r>
      </w:hyperlink>
      <w:r w:rsidR="00333370" w:rsidRPr="00935C7F">
        <w:rPr>
          <w:rFonts w:ascii="Times New Roman" w:hAnsi="Times New Roman" w:cs="Times New Roman"/>
          <w:sz w:val="24"/>
        </w:rPr>
        <w:t xml:space="preserve">; </w:t>
      </w:r>
      <w:hyperlink w:anchor="Matta" w:history="1">
        <w:r w:rsidR="00333370" w:rsidRPr="00935C7F">
          <w:rPr>
            <w:rStyle w:val="Hyperlink"/>
            <w:rFonts w:ascii="Times New Roman" w:hAnsi="Times New Roman" w:cs="Times New Roman"/>
            <w:sz w:val="24"/>
            <w:u w:val="none"/>
          </w:rPr>
          <w:t>Matta &amp; Feghali, 2021</w:t>
        </w:r>
      </w:hyperlink>
      <w:r w:rsidR="00333370" w:rsidRPr="00935C7F">
        <w:rPr>
          <w:rFonts w:ascii="Times New Roman" w:hAnsi="Times New Roman" w:cs="Times New Roman"/>
          <w:sz w:val="24"/>
        </w:rPr>
        <w:t xml:space="preserve">; </w:t>
      </w:r>
      <w:hyperlink w:anchor="Yue" w:history="1">
        <w:r w:rsidR="00333370" w:rsidRPr="00935C7F">
          <w:rPr>
            <w:rStyle w:val="Hyperlink"/>
            <w:rFonts w:ascii="Times New Roman" w:hAnsi="Times New Roman" w:cs="Times New Roman"/>
            <w:sz w:val="24"/>
            <w:u w:val="none"/>
          </w:rPr>
          <w:t>Yue, 2022</w:t>
        </w:r>
      </w:hyperlink>
      <w:r w:rsidR="00333370" w:rsidRPr="00935C7F">
        <w:rPr>
          <w:rFonts w:ascii="Times New Roman" w:hAnsi="Times New Roman" w:cs="Times New Roman"/>
          <w:sz w:val="24"/>
        </w:rPr>
        <w:t>)</w:t>
      </w:r>
      <w:r w:rsidR="007A3B40" w:rsidRPr="00935C7F">
        <w:rPr>
          <w:rFonts w:ascii="Times New Roman" w:eastAsia="Times New Roman" w:hAnsi="Times New Roman" w:cs="Times New Roman"/>
          <w:sz w:val="24"/>
          <w:szCs w:val="24"/>
        </w:rPr>
        <w:fldChar w:fldCharType="end"/>
      </w:r>
      <w:r w:rsidR="007A3B40" w:rsidRPr="00935C7F">
        <w:rPr>
          <w:rFonts w:ascii="Times New Roman" w:eastAsia="Times New Roman" w:hAnsi="Times New Roman" w:cs="Times New Roman"/>
          <w:sz w:val="24"/>
          <w:szCs w:val="24"/>
        </w:rPr>
        <w:t>.</w:t>
      </w:r>
    </w:p>
    <w:p w14:paraId="52025AFD" w14:textId="715AD183" w:rsidR="007A3B40" w:rsidRPr="00935C7F" w:rsidRDefault="007A3B40" w:rsidP="00686421">
      <w:pPr>
        <w:spacing w:after="0"/>
        <w:ind w:firstLine="426"/>
        <w:jc w:val="both"/>
        <w:rPr>
          <w:rFonts w:ascii="Times New Roman" w:eastAsia="Times New Roman" w:hAnsi="Times New Roman" w:cs="Times New Roman"/>
          <w:sz w:val="24"/>
          <w:szCs w:val="24"/>
        </w:rPr>
      </w:pPr>
      <w:r w:rsidRPr="00935C7F">
        <w:rPr>
          <w:rFonts w:ascii="Times New Roman" w:eastAsia="Times New Roman" w:hAnsi="Times New Roman" w:cs="Times New Roman"/>
          <w:sz w:val="24"/>
          <w:szCs w:val="24"/>
        </w:rPr>
        <w:t xml:space="preserve">Investment risk encompasses the potential for loss or unfavorable outcomes in financial investments, arising from various uncertainties impacting asset valuations. It can be segmented into several categories, including market risk, liquidity risk, credit risk, and operational risk, each presenting unique challenges to investors. Understanding these risks is paramount because inadequate management can lead to severe repercussions for individual investors, financial institutions, and the broader economy, as emphasized by </w:t>
      </w:r>
      <w:hyperlink w:anchor="Pfeiferov" w:history="1">
        <w:r w:rsidRPr="00935C7F">
          <w:rPr>
            <w:rStyle w:val="Hyperlink"/>
            <w:rFonts w:ascii="Times New Roman" w:eastAsia="Times New Roman" w:hAnsi="Times New Roman" w:cs="Times New Roman"/>
            <w:sz w:val="24"/>
            <w:szCs w:val="24"/>
            <w:u w:val="none"/>
          </w:rPr>
          <w:fldChar w:fldCharType="begin"/>
        </w:r>
        <w:r w:rsidRPr="00935C7F">
          <w:rPr>
            <w:rStyle w:val="Hyperlink"/>
            <w:rFonts w:ascii="Times New Roman" w:eastAsia="Times New Roman" w:hAnsi="Times New Roman" w:cs="Times New Roman"/>
            <w:sz w:val="24"/>
            <w:szCs w:val="24"/>
            <w:u w:val="none"/>
          </w:rPr>
          <w:instrText xml:space="preserve"> ADDIN ZOTERO_ITEM CSL_CITATION {"citationID":"a2dn5ojdcmb","properties":{"formattedCitation":"\\uldash{(Pfeiferov\\uc0\\u225{} &amp; Kucha\\uc0\\u345{}ov\\uc0\\u225{}, 2020)}","plainCitation":"(Pfeiferová &amp; Kuchařová, 2020)","dontUpdate":true,"noteIndex":0},"citationItems":[{"id":736,"uris":["http://zotero.org/users/10852507/items/EYQVFA95"],"itemData":{"id":736,"type":"article-journal","container-title":"SHS Web of Conferences","DOI":"10.1051/shsconf/20207401025","journalAbbreviation":"SHS Web of Conferences","page":"01025","title":"Risks of Collective Investment Undertakings in the Context of Global Capital Markets","volume":"74","author":[{"family":"Pfeiferová","given":"Daniela"},{"family":"Kuchařová","given":"Ivana"}],"issued":{"date-parts":[["2020"]]}}}],"schema":"https://github.com/citation-style-language/schema/raw/master/csl-citation.json"} </w:instrText>
        </w:r>
        <w:r w:rsidRPr="00935C7F">
          <w:rPr>
            <w:rStyle w:val="Hyperlink"/>
            <w:rFonts w:ascii="Times New Roman" w:eastAsia="Times New Roman" w:hAnsi="Times New Roman" w:cs="Times New Roman"/>
            <w:sz w:val="24"/>
            <w:szCs w:val="24"/>
            <w:u w:val="none"/>
          </w:rPr>
          <w:fldChar w:fldCharType="separate"/>
        </w:r>
        <w:r w:rsidRPr="00935C7F">
          <w:rPr>
            <w:rStyle w:val="Hyperlink"/>
            <w:rFonts w:ascii="Times New Roman" w:eastAsia="Times New Roman" w:hAnsi="Times New Roman" w:cs="Times New Roman"/>
            <w:sz w:val="24"/>
            <w:szCs w:val="24"/>
            <w:u w:val="none"/>
          </w:rPr>
          <w:t>Pfeiferová &amp; Kuchařová (2020)</w:t>
        </w:r>
        <w:r w:rsidRPr="00935C7F">
          <w:rPr>
            <w:rStyle w:val="Hyperlink"/>
            <w:rFonts w:ascii="Times New Roman" w:eastAsia="Times New Roman" w:hAnsi="Times New Roman" w:cs="Times New Roman"/>
            <w:sz w:val="24"/>
            <w:szCs w:val="24"/>
            <w:u w:val="none"/>
          </w:rPr>
          <w:fldChar w:fldCharType="end"/>
        </w:r>
      </w:hyperlink>
      <w:r w:rsidRPr="00935C7F">
        <w:rPr>
          <w:rFonts w:ascii="Times New Roman" w:eastAsia="Times New Roman" w:hAnsi="Times New Roman" w:cs="Times New Roman"/>
          <w:sz w:val="24"/>
          <w:szCs w:val="24"/>
        </w:rPr>
        <w:t xml:space="preserve">. Moreover, risk assessments are vital in investment performance, revealing how systematic monitoring and strategic planning can mitigate adverse effects while enhancing competitiveness </w:t>
      </w:r>
      <w:r w:rsidRPr="00935C7F">
        <w:rPr>
          <w:rFonts w:ascii="Times New Roman" w:eastAsia="Times New Roman" w:hAnsi="Times New Roman" w:cs="Times New Roman"/>
          <w:sz w:val="24"/>
          <w:szCs w:val="24"/>
        </w:rPr>
        <w:fldChar w:fldCharType="begin"/>
      </w:r>
      <w:r w:rsidRPr="00935C7F">
        <w:rPr>
          <w:rFonts w:ascii="Times New Roman" w:eastAsia="Times New Roman" w:hAnsi="Times New Roman" w:cs="Times New Roman"/>
          <w:sz w:val="24"/>
          <w:szCs w:val="24"/>
        </w:rPr>
        <w:instrText xml:space="preserve"> ADDIN ZOTERO_ITEM CSL_CITATION {"citationID":"a2ost70c1dc","properties":{"formattedCitation":"(Wulandari, 2021)","plainCitation":"(Wulandari, 2021)","noteIndex":0},"citationItems":[{"id":664,"uris":["http://zotero.org/users/10852507/items/THKZBE94"],"itemData":{"id":664,"type":"article-journal","container-title":"E3s Web of Conferences","DOI":"10.1051/e3sconf/202123202022","journalAbbreviation":"E3s Web of Conferences","page":"02022","title":"Investment Risk Management for Vanilla Agribusiness Development in Indonesia","volume":"232","author":[{"family":"Wulandari","given":"Suci"}],"issued":{"date-parts":[["2021"]]}}}],"schema":"https://github.com/citation-style-language/schema/raw/master/csl-citation.json"} </w:instrText>
      </w:r>
      <w:r w:rsidRPr="00935C7F">
        <w:rPr>
          <w:rFonts w:ascii="Times New Roman" w:eastAsia="Times New Roman" w:hAnsi="Times New Roman" w:cs="Times New Roman"/>
          <w:sz w:val="24"/>
          <w:szCs w:val="24"/>
        </w:rPr>
        <w:fldChar w:fldCharType="separate"/>
      </w:r>
      <w:r w:rsidRPr="00935C7F">
        <w:rPr>
          <w:rFonts w:ascii="Times New Roman" w:eastAsia="Times New Roman" w:hAnsi="Times New Roman" w:cs="Times New Roman"/>
          <w:sz w:val="24"/>
          <w:szCs w:val="24"/>
        </w:rPr>
        <w:t>(</w:t>
      </w:r>
      <w:hyperlink w:anchor="Wulandari" w:history="1">
        <w:r w:rsidRPr="00935C7F">
          <w:rPr>
            <w:rStyle w:val="Hyperlink"/>
            <w:rFonts w:ascii="Times New Roman" w:eastAsia="Times New Roman" w:hAnsi="Times New Roman" w:cs="Times New Roman"/>
            <w:sz w:val="24"/>
            <w:szCs w:val="24"/>
            <w:u w:val="none"/>
          </w:rPr>
          <w:t>Wulandari, 2021</w:t>
        </w:r>
      </w:hyperlink>
      <w:r w:rsidRPr="00935C7F">
        <w:rPr>
          <w:rFonts w:ascii="Times New Roman" w:eastAsia="Times New Roman" w:hAnsi="Times New Roman" w:cs="Times New Roman"/>
          <w:sz w:val="24"/>
          <w:szCs w:val="24"/>
        </w:rPr>
        <w:t>)</w:t>
      </w:r>
      <w:r w:rsidRPr="00935C7F">
        <w:rPr>
          <w:rFonts w:ascii="Times New Roman" w:eastAsia="Times New Roman" w:hAnsi="Times New Roman" w:cs="Times New Roman"/>
          <w:sz w:val="24"/>
          <w:szCs w:val="24"/>
        </w:rPr>
        <w:fldChar w:fldCharType="end"/>
      </w:r>
      <w:r w:rsidRPr="00935C7F">
        <w:rPr>
          <w:rFonts w:ascii="Times New Roman" w:eastAsia="Times New Roman" w:hAnsi="Times New Roman" w:cs="Times New Roman"/>
          <w:sz w:val="24"/>
          <w:szCs w:val="24"/>
        </w:rPr>
        <w:t xml:space="preserve">. The complexity and volatility inherent in financial markets indicate that effective risk management strategies, such as portfolio optimization and adherence to informed decision-making frameworks, are crucial for preserving capital and achieving desired returns </w:t>
      </w:r>
      <w:r w:rsidRPr="00935C7F">
        <w:rPr>
          <w:rFonts w:ascii="Times New Roman" w:eastAsia="Times New Roman" w:hAnsi="Times New Roman" w:cs="Times New Roman"/>
          <w:sz w:val="24"/>
          <w:szCs w:val="24"/>
        </w:rPr>
        <w:fldChar w:fldCharType="begin"/>
      </w:r>
      <w:r w:rsidRPr="00935C7F">
        <w:rPr>
          <w:rFonts w:ascii="Times New Roman" w:eastAsia="Times New Roman" w:hAnsi="Times New Roman" w:cs="Times New Roman"/>
          <w:sz w:val="24"/>
          <w:szCs w:val="24"/>
        </w:rPr>
        <w:instrText xml:space="preserve"> ADDIN ZOTERO_ITEM CSL_CITATION {"citationID":"a11f1po0u15","properties":{"formattedCitation":"(Syahyono, 2018)","plainCitation":"(Syahyono, 2018)","noteIndex":0},"citationItems":[{"id":738,"uris":["http://zotero.org/users/10852507/items/KDRTTLKJ"],"itemData":{"id":738,"type":"article-journal","container-title":"Fair Value Jurnal Ilmiah Akuntansi Dan Keuangan","DOI":"10.32670/fairvalue.v1i1.1193","issue":"1","journalAbbreviation":"Fair Value Jurnal Ilmiah Akuntansi Dan Keuangan","page":"124-131","title":"Effect of Portfolio Investment Optimization Risk-Based and Efficiency Investment on Investment Decision","volume":"1","author":[{"family":"Syahyono","given":"S."}],"issued":{"date-parts":[["2018"]]}}}],"schema":"https://github.com/citation-style-language/schema/raw/master/csl-citation.json"} </w:instrText>
      </w:r>
      <w:r w:rsidRPr="00935C7F">
        <w:rPr>
          <w:rFonts w:ascii="Times New Roman" w:eastAsia="Times New Roman" w:hAnsi="Times New Roman" w:cs="Times New Roman"/>
          <w:sz w:val="24"/>
          <w:szCs w:val="24"/>
        </w:rPr>
        <w:fldChar w:fldCharType="separate"/>
      </w:r>
      <w:r w:rsidRPr="00935C7F">
        <w:rPr>
          <w:rFonts w:ascii="Times New Roman" w:eastAsia="Times New Roman" w:hAnsi="Times New Roman" w:cs="Times New Roman"/>
          <w:sz w:val="24"/>
          <w:szCs w:val="24"/>
        </w:rPr>
        <w:t>(</w:t>
      </w:r>
      <w:hyperlink w:anchor="Syahyono" w:history="1">
        <w:r w:rsidRPr="00935C7F">
          <w:rPr>
            <w:rStyle w:val="Hyperlink"/>
            <w:rFonts w:ascii="Times New Roman" w:eastAsia="Times New Roman" w:hAnsi="Times New Roman" w:cs="Times New Roman"/>
            <w:sz w:val="24"/>
            <w:szCs w:val="24"/>
            <w:u w:val="none"/>
          </w:rPr>
          <w:t>Syahyono, 2018</w:t>
        </w:r>
      </w:hyperlink>
      <w:r w:rsidRPr="00935C7F">
        <w:rPr>
          <w:rFonts w:ascii="Times New Roman" w:eastAsia="Times New Roman" w:hAnsi="Times New Roman" w:cs="Times New Roman"/>
          <w:sz w:val="24"/>
          <w:szCs w:val="24"/>
        </w:rPr>
        <w:t>)</w:t>
      </w:r>
      <w:r w:rsidRPr="00935C7F">
        <w:rPr>
          <w:rFonts w:ascii="Times New Roman" w:eastAsia="Times New Roman" w:hAnsi="Times New Roman" w:cs="Times New Roman"/>
          <w:sz w:val="24"/>
          <w:szCs w:val="24"/>
        </w:rPr>
        <w:fldChar w:fldCharType="end"/>
      </w:r>
      <w:r w:rsidRPr="00935C7F">
        <w:rPr>
          <w:rFonts w:ascii="Times New Roman" w:eastAsia="Times New Roman" w:hAnsi="Times New Roman" w:cs="Times New Roman"/>
          <w:sz w:val="24"/>
          <w:szCs w:val="24"/>
        </w:rPr>
        <w:t xml:space="preserve">. </w:t>
      </w:r>
    </w:p>
    <w:p w14:paraId="3F6980EA" w14:textId="1B68D5A8" w:rsidR="007A3B40" w:rsidRPr="00935C7F" w:rsidRDefault="007A3B40" w:rsidP="00686421">
      <w:pPr>
        <w:spacing w:after="0"/>
        <w:ind w:firstLine="426"/>
        <w:jc w:val="both"/>
        <w:rPr>
          <w:rFonts w:ascii="Times New Roman" w:eastAsia="Times New Roman" w:hAnsi="Times New Roman" w:cs="Times New Roman"/>
          <w:sz w:val="24"/>
          <w:szCs w:val="24"/>
        </w:rPr>
      </w:pPr>
      <w:r w:rsidRPr="00935C7F">
        <w:rPr>
          <w:rFonts w:ascii="Times New Roman" w:eastAsia="Times New Roman" w:hAnsi="Times New Roman" w:cs="Times New Roman"/>
          <w:sz w:val="24"/>
          <w:szCs w:val="24"/>
        </w:rPr>
        <w:t xml:space="preserve">The role of audits in managing investment risk is pivotal, as they enhance the reliability of financial reporting and foster investor confidence. Auditors evaluate the financial health of companies, thereby ensuring stakeholders have accurate information to make informed investment decisions. This is especially critical in contexts plagued by high uncertainty, where investment managers' strategies could lead to substantial risks without oversight. Effective auditing helps manage investment risk by balancing risk tolerance with expected returns, facilitating improved decision-making within investment portfolios </w:t>
      </w:r>
      <w:r w:rsidRPr="00935C7F">
        <w:rPr>
          <w:rFonts w:ascii="Times New Roman" w:eastAsia="Times New Roman" w:hAnsi="Times New Roman" w:cs="Times New Roman"/>
          <w:sz w:val="24"/>
          <w:szCs w:val="24"/>
        </w:rPr>
        <w:fldChar w:fldCharType="begin"/>
      </w:r>
      <w:r w:rsidRPr="00935C7F">
        <w:rPr>
          <w:rFonts w:ascii="Times New Roman" w:eastAsia="Times New Roman" w:hAnsi="Times New Roman" w:cs="Times New Roman"/>
          <w:sz w:val="24"/>
          <w:szCs w:val="24"/>
        </w:rPr>
        <w:instrText xml:space="preserve"> ADDIN ZOTERO_ITEM CSL_CITATION {"citationID":"avu3o9qivm","properties":{"formattedCitation":"(Khakhanaev, 2019)","plainCitation":"(Khakhanaev, 2019)","noteIndex":0},"citationItems":[{"id":739,"uris":["http://zotero.org/users/10852507/items/BGQVL6JE"],"itemData":{"id":739,"type":"article-journal","container-title":"Digest Finance","DOI":"10.24891/df.24.4.395","issue":"4","journalAbbreviation":"Digest Finance","page":"395-402","title":"The Study Into Factors Reducing Investment Project Financing Risks","volume":"24","author":[{"family":"Khakhanaev","given":"U.S.-E."}],"issued":{"date-parts":[["2019"]]}}}],"schema":"https://github.com/citation-style-language/schema/raw/master/csl-citation.json"} </w:instrText>
      </w:r>
      <w:r w:rsidRPr="00935C7F">
        <w:rPr>
          <w:rFonts w:ascii="Times New Roman" w:eastAsia="Times New Roman" w:hAnsi="Times New Roman" w:cs="Times New Roman"/>
          <w:sz w:val="24"/>
          <w:szCs w:val="24"/>
        </w:rPr>
        <w:fldChar w:fldCharType="separate"/>
      </w:r>
      <w:hyperlink w:anchor="Khakhanaev" w:history="1">
        <w:r w:rsidRPr="00935C7F">
          <w:rPr>
            <w:rStyle w:val="Hyperlink"/>
            <w:rFonts w:ascii="Times New Roman" w:eastAsia="Times New Roman" w:hAnsi="Times New Roman" w:cs="Times New Roman"/>
            <w:color w:val="000000" w:themeColor="text1"/>
            <w:sz w:val="24"/>
            <w:szCs w:val="24"/>
            <w:u w:val="none"/>
          </w:rPr>
          <w:t>(</w:t>
        </w:r>
        <w:r w:rsidRPr="00935C7F">
          <w:rPr>
            <w:rStyle w:val="Hyperlink"/>
            <w:rFonts w:ascii="Times New Roman" w:eastAsia="Times New Roman" w:hAnsi="Times New Roman" w:cs="Times New Roman"/>
            <w:sz w:val="24"/>
            <w:szCs w:val="24"/>
            <w:u w:val="none"/>
          </w:rPr>
          <w:t>Khakhanaev, 2019</w:t>
        </w:r>
      </w:hyperlink>
      <w:r w:rsidRPr="00935C7F">
        <w:rPr>
          <w:rFonts w:ascii="Times New Roman" w:eastAsia="Times New Roman" w:hAnsi="Times New Roman" w:cs="Times New Roman"/>
          <w:sz w:val="24"/>
          <w:szCs w:val="24"/>
        </w:rPr>
        <w:t>)</w:t>
      </w:r>
      <w:r w:rsidRPr="00935C7F">
        <w:rPr>
          <w:rFonts w:ascii="Times New Roman" w:eastAsia="Times New Roman" w:hAnsi="Times New Roman" w:cs="Times New Roman"/>
          <w:sz w:val="24"/>
          <w:szCs w:val="24"/>
        </w:rPr>
        <w:fldChar w:fldCharType="end"/>
      </w:r>
      <w:r w:rsidRPr="00935C7F">
        <w:rPr>
          <w:rFonts w:ascii="Times New Roman" w:eastAsia="Times New Roman" w:hAnsi="Times New Roman" w:cs="Times New Roman"/>
          <w:sz w:val="24"/>
          <w:szCs w:val="24"/>
        </w:rPr>
        <w:t xml:space="preserve">. Furthermore, continuous improvement in risk reporting and internal controls can significantly mitigate financial risks faced by organizations, reinforcing the need for stringent audit processes </w:t>
      </w:r>
      <w:r w:rsidRPr="00935C7F">
        <w:rPr>
          <w:rFonts w:ascii="Times New Roman" w:eastAsia="Times New Roman" w:hAnsi="Times New Roman" w:cs="Times New Roman"/>
          <w:sz w:val="24"/>
          <w:szCs w:val="24"/>
        </w:rPr>
        <w:fldChar w:fldCharType="begin"/>
      </w:r>
      <w:r w:rsidR="00333370" w:rsidRPr="00935C7F">
        <w:rPr>
          <w:rFonts w:ascii="Times New Roman" w:eastAsia="Times New Roman" w:hAnsi="Times New Roman" w:cs="Times New Roman"/>
          <w:sz w:val="24"/>
          <w:szCs w:val="24"/>
        </w:rPr>
        <w:instrText xml:space="preserve"> ADDIN ZOTERO_ITEM CSL_CITATION {"citationID":"a1ceh21f6fc","properties":{"formattedCitation":"(Li, 2015)","plainCitation":"(Li, 2015)","noteIndex":0},"citationItems":[{"id":740,"uris":["http://zotero.org/users/10852507/items/6BY3HHLR"],"itemData":{"id":740,"type":"article-journal","container-title":"The Open Cybernetics &amp; Systemics Journal","DOI":"10.2174/1874110x01509011849","issue":"1","journalAbbreviation":"The Open Cybernetics &amp; Systemics Journal","page":"1849-1852","title":"Research on Financial Risk Management Based on VAR Model","volume":"9","author":[{"family":"Li","given":"Xingchen"}],"issued":{"date-parts":[["2015"]]}}}],"schema":"https://github.com/citation-style-language/schema/raw/master/csl-citation.json"} </w:instrText>
      </w:r>
      <w:r w:rsidRPr="00935C7F">
        <w:rPr>
          <w:rFonts w:ascii="Times New Roman" w:eastAsia="Times New Roman" w:hAnsi="Times New Roman" w:cs="Times New Roman"/>
          <w:sz w:val="24"/>
          <w:szCs w:val="24"/>
        </w:rPr>
        <w:fldChar w:fldCharType="separate"/>
      </w:r>
      <w:r w:rsidR="00333370" w:rsidRPr="00935C7F">
        <w:t>(Li, 2015)</w:t>
      </w:r>
      <w:r w:rsidRPr="00935C7F">
        <w:rPr>
          <w:rFonts w:ascii="Times New Roman" w:eastAsia="Times New Roman" w:hAnsi="Times New Roman" w:cs="Times New Roman"/>
          <w:sz w:val="24"/>
          <w:szCs w:val="24"/>
        </w:rPr>
        <w:fldChar w:fldCharType="end"/>
      </w:r>
      <w:r w:rsidRPr="00935C7F">
        <w:rPr>
          <w:rFonts w:ascii="Times New Roman" w:eastAsia="Times New Roman" w:hAnsi="Times New Roman" w:cs="Times New Roman"/>
          <w:sz w:val="24"/>
          <w:szCs w:val="24"/>
        </w:rPr>
        <w:t xml:space="preserve">. Ultimately, robust audits contribute to a sustainable investment environment by ensuring integrity and transparency, thereby encouraging long-term economic stability and growth amidst inherent uncertainties </w:t>
      </w:r>
      <w:hyperlink w:anchor="Ren" w:history="1">
        <w:r w:rsidRPr="00935C7F">
          <w:rPr>
            <w:rStyle w:val="Hyperlink"/>
            <w:rFonts w:ascii="Times New Roman" w:eastAsia="Times New Roman" w:hAnsi="Times New Roman" w:cs="Times New Roman"/>
            <w:sz w:val="24"/>
            <w:szCs w:val="24"/>
            <w:u w:val="none"/>
          </w:rPr>
          <w:fldChar w:fldCharType="begin"/>
        </w:r>
        <w:r w:rsidRPr="00935C7F">
          <w:rPr>
            <w:rStyle w:val="Hyperlink"/>
            <w:rFonts w:ascii="Times New Roman" w:eastAsia="Times New Roman" w:hAnsi="Times New Roman" w:cs="Times New Roman"/>
            <w:sz w:val="24"/>
            <w:szCs w:val="24"/>
            <w:u w:val="none"/>
          </w:rPr>
          <w:instrText xml:space="preserve"> ADDIN ZOTERO_ITEM CSL_CITATION {"citationID":"a2ih81302au","properties":{"formattedCitation":"(Ren &amp; Du, 2020)","plainCitation":"(Ren &amp; Du, 2020)","noteIndex":0},"citationItems":[{"id":741,"uris":["http://zotero.org/users/10852507/items/A43M5WIV"],"itemData":{"id":741,"type":"article-journal","DOI":"10.1007/978-3-030-51100-5_28","page":"315-325","title":"Analysis on Behavior Characteristics of Enterprise Financing Investment Risk Data","author":[{"family":"Ren","given":"Ding"},{"family":"Du","given":"Jinmin"}],"issued":{"date-parts":[["2020"]]}}}],"schema":"https://github.com/citation-style-language/schema/raw/master/csl-citation.json"} </w:instrText>
        </w:r>
        <w:r w:rsidRPr="00935C7F">
          <w:rPr>
            <w:rStyle w:val="Hyperlink"/>
            <w:rFonts w:ascii="Times New Roman" w:eastAsia="Times New Roman" w:hAnsi="Times New Roman" w:cs="Times New Roman"/>
            <w:sz w:val="24"/>
            <w:szCs w:val="24"/>
            <w:u w:val="none"/>
          </w:rPr>
          <w:fldChar w:fldCharType="separate"/>
        </w:r>
        <w:r w:rsidRPr="00935C7F">
          <w:rPr>
            <w:rStyle w:val="Hyperlink"/>
            <w:rFonts w:ascii="Times New Roman" w:eastAsia="Times New Roman" w:hAnsi="Times New Roman" w:cs="Times New Roman"/>
            <w:color w:val="000000" w:themeColor="text1"/>
            <w:sz w:val="24"/>
            <w:szCs w:val="24"/>
            <w:u w:val="none"/>
          </w:rPr>
          <w:t>(</w:t>
        </w:r>
        <w:r w:rsidRPr="00935C7F">
          <w:rPr>
            <w:rStyle w:val="Hyperlink"/>
            <w:rFonts w:ascii="Times New Roman" w:eastAsia="Times New Roman" w:hAnsi="Times New Roman" w:cs="Times New Roman"/>
            <w:sz w:val="24"/>
            <w:szCs w:val="24"/>
            <w:u w:val="none"/>
          </w:rPr>
          <w:t>Ren &amp; Du, 2020</w:t>
        </w:r>
        <w:r w:rsidRPr="00935C7F">
          <w:rPr>
            <w:rStyle w:val="Hyperlink"/>
            <w:rFonts w:ascii="Times New Roman" w:eastAsia="Times New Roman" w:hAnsi="Times New Roman" w:cs="Times New Roman"/>
            <w:color w:val="000000" w:themeColor="text1"/>
            <w:sz w:val="24"/>
            <w:szCs w:val="24"/>
            <w:u w:val="none"/>
          </w:rPr>
          <w:t>)</w:t>
        </w:r>
        <w:r w:rsidRPr="00935C7F">
          <w:rPr>
            <w:rStyle w:val="Hyperlink"/>
            <w:rFonts w:ascii="Times New Roman" w:eastAsia="Times New Roman" w:hAnsi="Times New Roman" w:cs="Times New Roman"/>
            <w:sz w:val="24"/>
            <w:szCs w:val="24"/>
            <w:u w:val="none"/>
          </w:rPr>
          <w:fldChar w:fldCharType="end"/>
        </w:r>
      </w:hyperlink>
      <w:r w:rsidRPr="00935C7F">
        <w:rPr>
          <w:rFonts w:ascii="Times New Roman" w:eastAsia="Times New Roman" w:hAnsi="Times New Roman" w:cs="Times New Roman"/>
          <w:sz w:val="24"/>
          <w:szCs w:val="24"/>
        </w:rPr>
        <w:t>.</w:t>
      </w:r>
    </w:p>
    <w:p w14:paraId="4D836527" w14:textId="048B5B45" w:rsidR="007A3B40" w:rsidRPr="00935C7F" w:rsidRDefault="007A3B40" w:rsidP="00686421">
      <w:pPr>
        <w:spacing w:after="0"/>
        <w:ind w:firstLine="426"/>
        <w:jc w:val="both"/>
        <w:rPr>
          <w:rFonts w:ascii="Times New Roman" w:eastAsia="Times New Roman" w:hAnsi="Times New Roman" w:cs="Times New Roman"/>
          <w:sz w:val="24"/>
          <w:szCs w:val="24"/>
        </w:rPr>
      </w:pPr>
      <w:r w:rsidRPr="00935C7F">
        <w:rPr>
          <w:rFonts w:ascii="Times New Roman" w:eastAsia="Times New Roman" w:hAnsi="Times New Roman" w:cs="Times New Roman"/>
          <w:sz w:val="24"/>
          <w:szCs w:val="24"/>
        </w:rPr>
        <w:t xml:space="preserve">The disclosure of </w:t>
      </w:r>
      <w:r w:rsidR="00BE4252" w:rsidRPr="00935C7F">
        <w:rPr>
          <w:rFonts w:ascii="Times New Roman" w:eastAsia="Times New Roman" w:hAnsi="Times New Roman" w:cs="Times New Roman"/>
          <w:sz w:val="24"/>
          <w:szCs w:val="24"/>
        </w:rPr>
        <w:t>KAM</w:t>
      </w:r>
      <w:r w:rsidRPr="00935C7F">
        <w:rPr>
          <w:rFonts w:ascii="Times New Roman" w:eastAsia="Times New Roman" w:hAnsi="Times New Roman" w:cs="Times New Roman"/>
          <w:sz w:val="24"/>
          <w:szCs w:val="24"/>
        </w:rPr>
        <w:t xml:space="preserve"> in audit reports has become an essential feature of modern auditing practices, with the aim of enhancing transparency and providing greater insights into financial reporting risks. However, despite the growing body of literature on </w:t>
      </w:r>
      <w:r w:rsidR="00BE4252" w:rsidRPr="00935C7F">
        <w:rPr>
          <w:rFonts w:ascii="Times New Roman" w:eastAsia="Times New Roman" w:hAnsi="Times New Roman" w:cs="Times New Roman"/>
          <w:sz w:val="24"/>
          <w:szCs w:val="24"/>
        </w:rPr>
        <w:t>KAM</w:t>
      </w:r>
      <w:r w:rsidRPr="00935C7F">
        <w:rPr>
          <w:rFonts w:ascii="Times New Roman" w:eastAsia="Times New Roman" w:hAnsi="Times New Roman" w:cs="Times New Roman"/>
          <w:sz w:val="24"/>
          <w:szCs w:val="24"/>
        </w:rPr>
        <w:t xml:space="preserve"> </w:t>
      </w:r>
      <w:r w:rsidRPr="00935C7F">
        <w:rPr>
          <w:rFonts w:ascii="Times New Roman" w:eastAsia="Times New Roman" w:hAnsi="Times New Roman" w:cs="Times New Roman"/>
          <w:sz w:val="24"/>
          <w:szCs w:val="24"/>
        </w:rPr>
        <w:lastRenderedPageBreak/>
        <w:t xml:space="preserve">disclosures, several gaps remain in our understanding of how these disclosures influence investment decision-making and risk mitigation, particularly in emerging markets such as Indonesia. The relevance of </w:t>
      </w:r>
      <w:r w:rsidR="00BE4252" w:rsidRPr="00935C7F">
        <w:rPr>
          <w:rFonts w:ascii="Times New Roman" w:eastAsia="Times New Roman" w:hAnsi="Times New Roman" w:cs="Times New Roman"/>
          <w:sz w:val="24"/>
          <w:szCs w:val="24"/>
        </w:rPr>
        <w:t>KAM</w:t>
      </w:r>
      <w:r w:rsidRPr="00935C7F">
        <w:rPr>
          <w:rFonts w:ascii="Times New Roman" w:eastAsia="Times New Roman" w:hAnsi="Times New Roman" w:cs="Times New Roman"/>
          <w:sz w:val="24"/>
          <w:szCs w:val="24"/>
        </w:rPr>
        <w:t xml:space="preserve"> is underscored by </w:t>
      </w:r>
      <w:r w:rsidR="00706D1A">
        <w:rPr>
          <w:rFonts w:ascii="Times New Roman" w:eastAsia="Times New Roman" w:hAnsi="Times New Roman" w:cs="Times New Roman"/>
          <w:sz w:val="24"/>
          <w:szCs w:val="24"/>
        </w:rPr>
        <w:t>its</w:t>
      </w:r>
      <w:r w:rsidRPr="00935C7F">
        <w:rPr>
          <w:rFonts w:ascii="Times New Roman" w:eastAsia="Times New Roman" w:hAnsi="Times New Roman" w:cs="Times New Roman"/>
          <w:sz w:val="24"/>
          <w:szCs w:val="24"/>
        </w:rPr>
        <w:t xml:space="preserve"> potential to direct the attention of users to significant issues encountered during the audit process, which can ultimately influence their decision-making </w:t>
      </w:r>
      <w:r w:rsidRPr="00935C7F">
        <w:rPr>
          <w:rFonts w:ascii="Times New Roman" w:eastAsia="Times New Roman" w:hAnsi="Times New Roman" w:cs="Times New Roman"/>
          <w:sz w:val="24"/>
          <w:szCs w:val="24"/>
        </w:rPr>
        <w:fldChar w:fldCharType="begin"/>
      </w:r>
      <w:r w:rsidRPr="00935C7F">
        <w:rPr>
          <w:rFonts w:ascii="Times New Roman" w:eastAsia="Times New Roman" w:hAnsi="Times New Roman" w:cs="Times New Roman"/>
          <w:sz w:val="24"/>
          <w:szCs w:val="24"/>
        </w:rPr>
        <w:instrText xml:space="preserve"> ADDIN ZOTERO_ITEM CSL_CITATION {"citationID":"auf2e9q3o8","properties":{"formattedCitation":"(Sirois et al., 2018)","plainCitation":"(Sirois et al., 2018)","noteIndex":0},"citationItems":[{"id":689,"uris":["http://zotero.org/users/10852507/items/5L9QFIUD"],"itemData":{"id":689,"type":"article-journal","abstract":"We examine whether and how the addition of mandatory paragraphs that highlight Key/Critical audit matters (KAMs) in the auditor's report affects users' information acquisition process using eye-tracking technology. We experimentally manipulate the presence of KAMs, their number (one or three KAMs), and their format with the inclusion of an overview of audit procedures performed to address each KAM. We find that KAMs have attention directing impact, in that participants access KAM-related disclosures more rapidly and pay relatively more attention to them when KAMs are communicated in the auditor's report. However, when exposed to an auditor's report with several KAMs, participants devote less attention to the remaining parts of the financial statements. Depending on the relevance of the information for the decision task users are less attentive to, our results have direct policy implications as they underline the potential costs and benefits associated with KAMs.","container-title":"Accounting Horizons","DOI":"10.2308/acch-52047","ISSN":"0888-7993","issue":"2","journalAbbreviation":"Accounting Horizons","page":"141-162","title":"The Informational Value of Key Audit Matters in the Auditor's Report: Evidence from an Eye-Tracking Study","volume":"32","author":[{"family":"Sirois","given":"Louis-Philippe"},{"family":"Bédard","given":"Jean"},{"family":"Bera","given":"Palash"}],"issued":{"date-parts":[["2018",6,1]]}}}],"schema":"https://github.com/citation-style-language/schema/raw/master/csl-citation.json"} </w:instrText>
      </w:r>
      <w:r w:rsidRPr="00935C7F">
        <w:rPr>
          <w:rFonts w:ascii="Times New Roman" w:eastAsia="Times New Roman" w:hAnsi="Times New Roman" w:cs="Times New Roman"/>
          <w:sz w:val="24"/>
          <w:szCs w:val="24"/>
        </w:rPr>
        <w:fldChar w:fldCharType="separate"/>
      </w:r>
      <w:hyperlink w:anchor="Sirois" w:history="1">
        <w:r w:rsidRPr="00935C7F">
          <w:rPr>
            <w:rStyle w:val="Hyperlink"/>
            <w:rFonts w:ascii="Times New Roman" w:eastAsia="Times New Roman" w:hAnsi="Times New Roman" w:cs="Times New Roman"/>
            <w:color w:val="000000" w:themeColor="text1"/>
            <w:sz w:val="24"/>
            <w:szCs w:val="24"/>
            <w:u w:val="none"/>
          </w:rPr>
          <w:t>(</w:t>
        </w:r>
        <w:r w:rsidRPr="00935C7F">
          <w:rPr>
            <w:rStyle w:val="Hyperlink"/>
            <w:rFonts w:ascii="Times New Roman" w:eastAsia="Times New Roman" w:hAnsi="Times New Roman" w:cs="Times New Roman"/>
            <w:sz w:val="24"/>
            <w:szCs w:val="24"/>
            <w:u w:val="none"/>
          </w:rPr>
          <w:t>Sirois et al., 2018</w:t>
        </w:r>
      </w:hyperlink>
      <w:r w:rsidRPr="00935C7F">
        <w:rPr>
          <w:rFonts w:ascii="Times New Roman" w:eastAsia="Times New Roman" w:hAnsi="Times New Roman" w:cs="Times New Roman"/>
          <w:sz w:val="24"/>
          <w:szCs w:val="24"/>
        </w:rPr>
        <w:t>)</w:t>
      </w:r>
      <w:r w:rsidRPr="00935C7F">
        <w:rPr>
          <w:rFonts w:ascii="Times New Roman" w:eastAsia="Times New Roman" w:hAnsi="Times New Roman" w:cs="Times New Roman"/>
          <w:sz w:val="24"/>
          <w:szCs w:val="24"/>
        </w:rPr>
        <w:fldChar w:fldCharType="end"/>
      </w:r>
      <w:r w:rsidRPr="00935C7F">
        <w:rPr>
          <w:rFonts w:ascii="Times New Roman" w:eastAsia="Times New Roman" w:hAnsi="Times New Roman" w:cs="Times New Roman"/>
          <w:sz w:val="24"/>
          <w:szCs w:val="24"/>
        </w:rPr>
        <w:t xml:space="preserve">. Research indicates that the introduction of </w:t>
      </w:r>
      <w:r w:rsidR="00BE4252" w:rsidRPr="00935C7F">
        <w:rPr>
          <w:rFonts w:ascii="Times New Roman" w:eastAsia="Times New Roman" w:hAnsi="Times New Roman" w:cs="Times New Roman"/>
          <w:sz w:val="24"/>
          <w:szCs w:val="24"/>
        </w:rPr>
        <w:t>KAM</w:t>
      </w:r>
      <w:r w:rsidRPr="00935C7F">
        <w:rPr>
          <w:rFonts w:ascii="Times New Roman" w:eastAsia="Times New Roman" w:hAnsi="Times New Roman" w:cs="Times New Roman"/>
          <w:sz w:val="24"/>
          <w:szCs w:val="24"/>
        </w:rPr>
        <w:t xml:space="preserve"> in auditor reports has a profound impact on the audit process and the judgments made by auditors. For instance, the inclusion of </w:t>
      </w:r>
      <w:r w:rsidR="00BE4252" w:rsidRPr="00935C7F">
        <w:rPr>
          <w:rFonts w:ascii="Times New Roman" w:eastAsia="Times New Roman" w:hAnsi="Times New Roman" w:cs="Times New Roman"/>
          <w:sz w:val="24"/>
          <w:szCs w:val="24"/>
        </w:rPr>
        <w:t>KAM</w:t>
      </w:r>
      <w:r w:rsidRPr="00935C7F">
        <w:rPr>
          <w:rFonts w:ascii="Times New Roman" w:eastAsia="Times New Roman" w:hAnsi="Times New Roman" w:cs="Times New Roman"/>
          <w:sz w:val="24"/>
          <w:szCs w:val="24"/>
        </w:rPr>
        <w:t xml:space="preserve"> has been shown to enhance the informational value of audit reports, as they provide insights into the most critical areas of concern identified during the audit </w:t>
      </w:r>
      <w:r w:rsidRPr="00935C7F">
        <w:rPr>
          <w:rFonts w:ascii="Times New Roman" w:eastAsia="Times New Roman" w:hAnsi="Times New Roman" w:cs="Times New Roman"/>
          <w:sz w:val="24"/>
          <w:szCs w:val="24"/>
        </w:rPr>
        <w:fldChar w:fldCharType="begin"/>
      </w:r>
      <w:r w:rsidR="00333370" w:rsidRPr="00935C7F">
        <w:rPr>
          <w:rFonts w:ascii="Times New Roman" w:eastAsia="Times New Roman" w:hAnsi="Times New Roman" w:cs="Times New Roman"/>
          <w:sz w:val="24"/>
          <w:szCs w:val="24"/>
        </w:rPr>
        <w:instrText xml:space="preserve"> ADDIN ZOTERO_ITEM CSL_CITATION {"citationID":"a2o3g58hb5q","properties":{"formattedCitation":"(Asbahr &amp; Ruhnke, 2019)","plainCitation":"(Asbahr &amp; Ruhnke, 2019)","noteIndex":0},"citationItems":[{"id":"bBwhO6sn/glOw0nhx","uris":["http://zotero.org/users/10852507/items/YF4CTDCK"],"itemData":{"id":695,"type":"article-journal","abstract":"This experimental study analyzes whether reporting an accounting estimate as a key audit matter (KAM) can influence auditor judgment about the accounting estimate and the corresponding action. We find that skeptical action in the form of proposed adjustment amounts is significantly lower when the accounting estimate is reported as a KAM. Thus, the disclosure of a KAM can serve as a moral license to waive an adjustment. Taking into account that the KAM disclosure does not affect auditors' skeptical judgments in the form of a reasonableness assessment of the accounting estimate, our results indicate the existence of a judgment?action gap. Furthermore, implicit client pressure does not enlarge the moral licensing effect of the KAM disclosure. We also find evidence that audit effort is not affected by reporting a KAM. Overall, our study contributes to the current debate about the audit reporting model by showing that reporting a KAM might have unintended ?real effects? on auditors' actions.","container-title":"International Journal of Auditing","DOI":"10.1111/ijau.12154","ISSN":"1090-6738","issue":"2","journalAbbreviation":"International Journal of Auditing","note":"publisher: John Wiley &amp; Sons, Ltd","page":"165-180","title":"Real effects of reporting key audit matters on auditors' judgment and choice of action","volume":"23","author":[{"family":"Asbahr","given":"Karsten"},{"family":"Ruhnke","given":"Klaus"}],"issued":{"date-parts":[["2019",7,1]]}}}],"schema":"https://github.com/citation-style-language/schema/raw/master/csl-citation.json"} </w:instrText>
      </w:r>
      <w:r w:rsidRPr="00935C7F">
        <w:rPr>
          <w:rFonts w:ascii="Times New Roman" w:eastAsia="Times New Roman" w:hAnsi="Times New Roman" w:cs="Times New Roman"/>
          <w:sz w:val="24"/>
          <w:szCs w:val="24"/>
        </w:rPr>
        <w:fldChar w:fldCharType="separate"/>
      </w:r>
      <w:r w:rsidR="00333370" w:rsidRPr="00935C7F">
        <w:rPr>
          <w:rFonts w:ascii="Times New Roman" w:hAnsi="Times New Roman" w:cs="Times New Roman"/>
          <w:sz w:val="24"/>
          <w:szCs w:val="24"/>
        </w:rPr>
        <w:t>(</w:t>
      </w:r>
      <w:hyperlink w:anchor="Asbahr" w:history="1">
        <w:r w:rsidR="00333370" w:rsidRPr="00935C7F">
          <w:rPr>
            <w:rStyle w:val="Hyperlink"/>
            <w:rFonts w:ascii="Times New Roman" w:hAnsi="Times New Roman" w:cs="Times New Roman"/>
            <w:sz w:val="24"/>
            <w:szCs w:val="24"/>
            <w:u w:val="none"/>
          </w:rPr>
          <w:t>Asbahr &amp; Ruhnke, 2019</w:t>
        </w:r>
      </w:hyperlink>
      <w:r w:rsidR="00333370" w:rsidRPr="00935C7F">
        <w:rPr>
          <w:rFonts w:ascii="Times New Roman" w:hAnsi="Times New Roman" w:cs="Times New Roman"/>
          <w:sz w:val="24"/>
          <w:szCs w:val="24"/>
        </w:rPr>
        <w:t>)</w:t>
      </w:r>
      <w:r w:rsidRPr="00935C7F">
        <w:rPr>
          <w:rFonts w:ascii="Times New Roman" w:eastAsia="Times New Roman" w:hAnsi="Times New Roman" w:cs="Times New Roman"/>
          <w:sz w:val="24"/>
          <w:szCs w:val="24"/>
        </w:rPr>
        <w:fldChar w:fldCharType="end"/>
      </w:r>
      <w:r w:rsidRPr="00935C7F">
        <w:rPr>
          <w:rFonts w:ascii="Times New Roman" w:eastAsia="Times New Roman" w:hAnsi="Times New Roman" w:cs="Times New Roman"/>
          <w:sz w:val="24"/>
          <w:szCs w:val="24"/>
        </w:rPr>
        <w:t>.</w:t>
      </w:r>
      <w:r w:rsidR="00706D1A">
        <w:rPr>
          <w:rFonts w:ascii="Times New Roman" w:eastAsia="Times New Roman" w:hAnsi="Times New Roman" w:cs="Times New Roman"/>
          <w:sz w:val="24"/>
          <w:szCs w:val="24"/>
        </w:rPr>
        <w:t xml:space="preserve"> </w:t>
      </w:r>
      <w:r w:rsidRPr="00935C7F">
        <w:rPr>
          <w:rFonts w:ascii="Times New Roman" w:eastAsia="Times New Roman" w:hAnsi="Times New Roman" w:cs="Times New Roman"/>
          <w:sz w:val="24"/>
          <w:szCs w:val="24"/>
        </w:rPr>
        <w:t xml:space="preserve">This is particularly pertinent in the context of Indonesia, where the quality of audits has been scrutinized. </w:t>
      </w:r>
    </w:p>
    <w:p w14:paraId="44CC6255" w14:textId="27C85F0F" w:rsidR="007A3B40" w:rsidRPr="00935C7F" w:rsidRDefault="007A3B40" w:rsidP="00686421">
      <w:pPr>
        <w:spacing w:after="0"/>
        <w:ind w:firstLine="426"/>
        <w:jc w:val="both"/>
        <w:rPr>
          <w:rFonts w:ascii="Times New Roman" w:eastAsia="Times New Roman" w:hAnsi="Times New Roman" w:cs="Times New Roman"/>
          <w:sz w:val="24"/>
          <w:szCs w:val="24"/>
        </w:rPr>
      </w:pPr>
      <w:r w:rsidRPr="00935C7F">
        <w:rPr>
          <w:rFonts w:ascii="Times New Roman" w:eastAsia="Times New Roman" w:hAnsi="Times New Roman" w:cs="Times New Roman"/>
          <w:sz w:val="24"/>
          <w:szCs w:val="24"/>
        </w:rPr>
        <w:t xml:space="preserve">Existing research has largely focused on the descriptive characteristics of </w:t>
      </w:r>
      <w:r w:rsidR="00BE4252" w:rsidRPr="00935C7F">
        <w:rPr>
          <w:rFonts w:ascii="Times New Roman" w:eastAsia="Times New Roman" w:hAnsi="Times New Roman" w:cs="Times New Roman"/>
          <w:sz w:val="24"/>
          <w:szCs w:val="24"/>
        </w:rPr>
        <w:t>KAM</w:t>
      </w:r>
      <w:r w:rsidRPr="00935C7F">
        <w:rPr>
          <w:rFonts w:ascii="Times New Roman" w:eastAsia="Times New Roman" w:hAnsi="Times New Roman" w:cs="Times New Roman"/>
          <w:sz w:val="24"/>
          <w:szCs w:val="24"/>
        </w:rPr>
        <w:t xml:space="preserve"> disclosures, including factors influencing their extent and content. Studies by </w:t>
      </w:r>
      <w:hyperlink w:anchor="Shao" w:history="1">
        <w:r w:rsidRPr="00935C7F">
          <w:rPr>
            <w:rStyle w:val="Hyperlink"/>
            <w:rFonts w:ascii="Times New Roman" w:eastAsia="Times New Roman" w:hAnsi="Times New Roman" w:cs="Times New Roman"/>
            <w:sz w:val="24"/>
            <w:szCs w:val="24"/>
            <w:u w:val="none"/>
          </w:rPr>
          <w:fldChar w:fldCharType="begin"/>
        </w:r>
        <w:r w:rsidRPr="00935C7F">
          <w:rPr>
            <w:rStyle w:val="Hyperlink"/>
            <w:rFonts w:ascii="Times New Roman" w:eastAsia="Times New Roman" w:hAnsi="Times New Roman" w:cs="Times New Roman"/>
            <w:sz w:val="24"/>
            <w:szCs w:val="24"/>
            <w:u w:val="none"/>
          </w:rPr>
          <w:instrText xml:space="preserve"> ADDIN ZOTERO_ITEM CSL_CITATION {"citationID":"a2ln5rr372t","properties":{"formattedCitation":"\\uldash{(Shao, 2020)}","plainCitation":"(Shao, 2020)","dontUpdate":true,"noteIndex":0},"citationItems":[{"id":708,"uris":["http://zotero.org/users/10852507/items/NAPUJ799"],"itemData":{"id":708,"type":"article-journal","container-title":"Modern Economy","DOI":"10.4236/me.2020.113052","issue":"03","journalAbbreviation":"Modern Economy","page":"701-725","title":"Research on Disclosure Status and Influencing Factors of Key Audit Matters","volume":"11","author":[{"family":"Shao","given":"Xin"}],"issued":{"date-parts":[["2020"]]}}}],"schema":"https://github.com/citation-style-language/schema/raw/master/csl-citation.json"} </w:instrText>
        </w:r>
        <w:r w:rsidRPr="00935C7F">
          <w:rPr>
            <w:rStyle w:val="Hyperlink"/>
            <w:rFonts w:ascii="Times New Roman" w:eastAsia="Times New Roman" w:hAnsi="Times New Roman" w:cs="Times New Roman"/>
            <w:sz w:val="24"/>
            <w:szCs w:val="24"/>
            <w:u w:val="none"/>
          </w:rPr>
          <w:fldChar w:fldCharType="separate"/>
        </w:r>
        <w:r w:rsidRPr="00935C7F">
          <w:rPr>
            <w:rStyle w:val="Hyperlink"/>
            <w:rFonts w:ascii="Times New Roman" w:eastAsia="Times New Roman" w:hAnsi="Times New Roman" w:cs="Times New Roman"/>
            <w:sz w:val="24"/>
            <w:szCs w:val="24"/>
            <w:u w:val="none"/>
          </w:rPr>
          <w:t>Shao (2020)</w:t>
        </w:r>
        <w:r w:rsidRPr="00935C7F">
          <w:rPr>
            <w:rStyle w:val="Hyperlink"/>
            <w:rFonts w:ascii="Times New Roman" w:eastAsia="Times New Roman" w:hAnsi="Times New Roman" w:cs="Times New Roman"/>
            <w:sz w:val="24"/>
            <w:szCs w:val="24"/>
            <w:u w:val="none"/>
          </w:rPr>
          <w:fldChar w:fldCharType="end"/>
        </w:r>
      </w:hyperlink>
      <w:r w:rsidRPr="00935C7F">
        <w:rPr>
          <w:rFonts w:ascii="Times New Roman" w:eastAsia="Times New Roman" w:hAnsi="Times New Roman" w:cs="Times New Roman"/>
          <w:sz w:val="24"/>
          <w:szCs w:val="24"/>
        </w:rPr>
        <w:t xml:space="preserve"> and </w:t>
      </w:r>
      <w:hyperlink w:anchor="Gen" w:history="1">
        <w:r w:rsidRPr="00935C7F">
          <w:rPr>
            <w:rStyle w:val="Hyperlink"/>
            <w:rFonts w:ascii="Times New Roman" w:eastAsia="Times New Roman" w:hAnsi="Times New Roman" w:cs="Times New Roman"/>
            <w:sz w:val="24"/>
            <w:szCs w:val="24"/>
            <w:u w:val="none"/>
          </w:rPr>
          <w:fldChar w:fldCharType="begin"/>
        </w:r>
        <w:r w:rsidRPr="00935C7F">
          <w:rPr>
            <w:rStyle w:val="Hyperlink"/>
            <w:rFonts w:ascii="Times New Roman" w:eastAsia="Times New Roman" w:hAnsi="Times New Roman" w:cs="Times New Roman"/>
            <w:sz w:val="24"/>
            <w:szCs w:val="24"/>
            <w:u w:val="none"/>
          </w:rPr>
          <w:instrText xml:space="preserve"> ADDIN ZOTERO_ITEM CSL_CITATION {"citationID":"a16d16enrpp","properties":{"formattedCitation":"\\uldash{(Gen\\uc0\\u231{} &amp; ERDEM, 2021)}","plainCitation":"(Genç &amp; ERDEM, 2021)","dontUpdate":true,"noteIndex":0},"citationItems":[{"id":709,"uris":["http://zotero.org/users/10852507/items/H2FHPH2T"],"itemData":{"id":709,"type":"article-journal","container-title":"Emaj Emerging Markets Journal","DOI":"10.5195/emaj.2021.219","issue":"1","journalAbbreviation":"Emaj Emerging Markets Journal","page":"60-66","title":"The Analysis of the Relationship Between Key Audit Matters (KAM) and Firm Characteristics: The Case of Turkey","volume":"11","author":[{"family":"Genç","given":"Elif G."},{"family":"ERDEM","given":"Başak"}],"issued":{"date-parts":[["2021"]]}}}],"schema":"https://github.com/citation-style-language/schema/raw/master/csl-citation.json"} </w:instrText>
        </w:r>
        <w:r w:rsidRPr="00935C7F">
          <w:rPr>
            <w:rStyle w:val="Hyperlink"/>
            <w:rFonts w:ascii="Times New Roman" w:eastAsia="Times New Roman" w:hAnsi="Times New Roman" w:cs="Times New Roman"/>
            <w:sz w:val="24"/>
            <w:szCs w:val="24"/>
            <w:u w:val="none"/>
          </w:rPr>
          <w:fldChar w:fldCharType="separate"/>
        </w:r>
        <w:r w:rsidRPr="00935C7F">
          <w:rPr>
            <w:rStyle w:val="Hyperlink"/>
            <w:rFonts w:ascii="Times New Roman" w:eastAsia="Times New Roman" w:hAnsi="Times New Roman" w:cs="Times New Roman"/>
            <w:sz w:val="24"/>
            <w:szCs w:val="24"/>
            <w:u w:val="none"/>
          </w:rPr>
          <w:t>Genç &amp; Erdem (2021)</w:t>
        </w:r>
        <w:r w:rsidRPr="00935C7F">
          <w:rPr>
            <w:rStyle w:val="Hyperlink"/>
            <w:rFonts w:ascii="Times New Roman" w:eastAsia="Times New Roman" w:hAnsi="Times New Roman" w:cs="Times New Roman"/>
            <w:sz w:val="24"/>
            <w:szCs w:val="24"/>
            <w:u w:val="none"/>
          </w:rPr>
          <w:fldChar w:fldCharType="end"/>
        </w:r>
      </w:hyperlink>
      <w:r w:rsidRPr="00935C7F">
        <w:rPr>
          <w:rFonts w:ascii="Times New Roman" w:eastAsia="Times New Roman" w:hAnsi="Times New Roman" w:cs="Times New Roman"/>
          <w:sz w:val="24"/>
          <w:szCs w:val="24"/>
        </w:rPr>
        <w:t xml:space="preserve"> provide valuable insights into the determinants of </w:t>
      </w:r>
      <w:r w:rsidR="00BE4252" w:rsidRPr="00935C7F">
        <w:rPr>
          <w:rFonts w:ascii="Times New Roman" w:eastAsia="Times New Roman" w:hAnsi="Times New Roman" w:cs="Times New Roman"/>
          <w:sz w:val="24"/>
          <w:szCs w:val="24"/>
        </w:rPr>
        <w:t>KAM</w:t>
      </w:r>
      <w:r w:rsidRPr="00935C7F">
        <w:rPr>
          <w:rFonts w:ascii="Times New Roman" w:eastAsia="Times New Roman" w:hAnsi="Times New Roman" w:cs="Times New Roman"/>
          <w:sz w:val="24"/>
          <w:szCs w:val="24"/>
        </w:rPr>
        <w:t xml:space="preserve"> disclosures, such as firm size, auditor characteristics, and audit opinions. Similarly, </w:t>
      </w:r>
      <w:hyperlink w:anchor="Segal" w:history="1">
        <w:r w:rsidRPr="00935C7F">
          <w:rPr>
            <w:rStyle w:val="Hyperlink"/>
            <w:rFonts w:ascii="Times New Roman" w:eastAsia="Times New Roman" w:hAnsi="Times New Roman" w:cs="Times New Roman"/>
            <w:sz w:val="24"/>
            <w:szCs w:val="24"/>
            <w:u w:val="none"/>
          </w:rPr>
          <w:fldChar w:fldCharType="begin"/>
        </w:r>
        <w:r w:rsidRPr="00935C7F">
          <w:rPr>
            <w:rStyle w:val="Hyperlink"/>
            <w:rFonts w:ascii="Times New Roman" w:eastAsia="Times New Roman" w:hAnsi="Times New Roman" w:cs="Times New Roman"/>
            <w:sz w:val="24"/>
            <w:szCs w:val="24"/>
            <w:u w:val="none"/>
          </w:rPr>
          <w:instrText xml:space="preserve"> ADDIN ZOTERO_ITEM CSL_CITATION {"citationID":"a1b6c6es32d","properties":{"formattedCitation":"\\uldash{(Segal, 2019)}","plainCitation":"(Segal, 2019)","dontUpdate":true,"noteIndex":0},"citationItems":[{"id":715,"uris":["http://zotero.org/users/10852507/items/8T76DLZY"],"itemData":{"id":715,"type":"article-journal","container-title":"Meditari Accountancy Research","DOI":"10.1108/medar-06-2018-0355","issue":"3","journalAbbreviation":"Meditari Accountancy Research","page":"472-494","title":"Key Audit Matters: Insight From Audit Experts","volume":"27","author":[{"family":"Segal","given":"Milton"}],"issued":{"date-parts":[["2019"]]}}}],"schema":"https://github.com/citation-style-language/schema/raw/master/csl-citation.json"} </w:instrText>
        </w:r>
        <w:r w:rsidRPr="00935C7F">
          <w:rPr>
            <w:rStyle w:val="Hyperlink"/>
            <w:rFonts w:ascii="Times New Roman" w:eastAsia="Times New Roman" w:hAnsi="Times New Roman" w:cs="Times New Roman"/>
            <w:sz w:val="24"/>
            <w:szCs w:val="24"/>
            <w:u w:val="none"/>
          </w:rPr>
          <w:fldChar w:fldCharType="separate"/>
        </w:r>
        <w:r w:rsidRPr="00935C7F">
          <w:rPr>
            <w:rStyle w:val="Hyperlink"/>
            <w:rFonts w:ascii="Times New Roman" w:eastAsia="Times New Roman" w:hAnsi="Times New Roman" w:cs="Times New Roman"/>
            <w:sz w:val="24"/>
            <w:szCs w:val="24"/>
            <w:u w:val="none"/>
          </w:rPr>
          <w:t>Segal (2019)</w:t>
        </w:r>
        <w:r w:rsidRPr="00935C7F">
          <w:rPr>
            <w:rStyle w:val="Hyperlink"/>
            <w:rFonts w:ascii="Times New Roman" w:eastAsia="Times New Roman" w:hAnsi="Times New Roman" w:cs="Times New Roman"/>
            <w:sz w:val="24"/>
            <w:szCs w:val="24"/>
            <w:u w:val="none"/>
          </w:rPr>
          <w:fldChar w:fldCharType="end"/>
        </w:r>
      </w:hyperlink>
      <w:r w:rsidRPr="00935C7F">
        <w:rPr>
          <w:rFonts w:ascii="Times New Roman" w:eastAsia="Times New Roman" w:hAnsi="Times New Roman" w:cs="Times New Roman"/>
          <w:sz w:val="24"/>
          <w:szCs w:val="24"/>
        </w:rPr>
        <w:t xml:space="preserve"> highlights the perceived challenges of </w:t>
      </w:r>
      <w:r w:rsidR="00BE4252" w:rsidRPr="00935C7F">
        <w:rPr>
          <w:rFonts w:ascii="Times New Roman" w:eastAsia="Times New Roman" w:hAnsi="Times New Roman" w:cs="Times New Roman"/>
          <w:sz w:val="24"/>
          <w:szCs w:val="24"/>
        </w:rPr>
        <w:t>KAM</w:t>
      </w:r>
      <w:r w:rsidRPr="00935C7F">
        <w:rPr>
          <w:rFonts w:ascii="Times New Roman" w:eastAsia="Times New Roman" w:hAnsi="Times New Roman" w:cs="Times New Roman"/>
          <w:sz w:val="24"/>
          <w:szCs w:val="24"/>
        </w:rPr>
        <w:t xml:space="preserve"> implementation, raising questions about the actual value these disclosures provide to investors. Despite these contributions, there remains a significant gap in understanding how KAM disclosures specifically impact investment risk, especially in developing markets with distinct regulatory environments and corporate governance structures, such as Indonesia.</w:t>
      </w:r>
    </w:p>
    <w:p w14:paraId="6FE5368F" w14:textId="1B6124BA" w:rsidR="007A3B40" w:rsidRPr="00935C7F" w:rsidRDefault="007A3B40" w:rsidP="00686421">
      <w:pPr>
        <w:spacing w:after="0"/>
        <w:ind w:firstLine="426"/>
        <w:jc w:val="both"/>
        <w:rPr>
          <w:rFonts w:ascii="Times New Roman" w:eastAsia="Times New Roman" w:hAnsi="Times New Roman" w:cs="Times New Roman"/>
          <w:sz w:val="24"/>
          <w:szCs w:val="24"/>
        </w:rPr>
      </w:pPr>
      <w:r w:rsidRPr="00935C7F">
        <w:rPr>
          <w:rFonts w:ascii="Times New Roman" w:eastAsia="Times New Roman" w:hAnsi="Times New Roman" w:cs="Times New Roman"/>
          <w:sz w:val="24"/>
          <w:szCs w:val="24"/>
        </w:rPr>
        <w:t xml:space="preserve">Moreover, while prior research, such as the work by </w:t>
      </w:r>
      <w:hyperlink w:anchor="Almulla" w:history="1">
        <w:r w:rsidRPr="00935C7F">
          <w:rPr>
            <w:rStyle w:val="Hyperlink"/>
            <w:rFonts w:ascii="Times New Roman" w:eastAsia="Times New Roman" w:hAnsi="Times New Roman" w:cs="Times New Roman"/>
            <w:sz w:val="24"/>
            <w:szCs w:val="24"/>
            <w:u w:val="none"/>
          </w:rPr>
          <w:fldChar w:fldCharType="begin"/>
        </w:r>
        <w:r w:rsidRPr="00935C7F">
          <w:rPr>
            <w:rStyle w:val="Hyperlink"/>
            <w:rFonts w:ascii="Times New Roman" w:eastAsia="Times New Roman" w:hAnsi="Times New Roman" w:cs="Times New Roman"/>
            <w:sz w:val="24"/>
            <w:szCs w:val="24"/>
            <w:u w:val="none"/>
          </w:rPr>
          <w:instrText xml:space="preserve"> ADDIN ZOTERO_ITEM CSL_CITATION {"citationID":"a22k25eqcjc","properties":{"formattedCitation":"\\uldash{(Al\\uc0\\u8208{}mulla &amp; Bradbury, 2021)}","plainCitation":"(Al‐mulla &amp; Bradbury, 2021)","dontUpdate":true,"noteIndex":0},"citationItems":[{"id":713,"uris":["http://zotero.org/users/10852507/items/X85XEAMC"],"itemData":{"id":713,"type":"article-journal","container-title":"International Journal of Auditing","DOI":"10.1111/ijau.12255","issue":"2","journalAbbreviation":"International Journal of Auditing","page":"134-150","title":"Auditor, Client and Investor Consequences of the Enhanced Auditor's Report","volume":"26","author":[{"family":"Al‐mulla","given":"Mazen"},{"family":"Bradbury","given":"Michael E."}],"issued":{"date-parts":[["2021"]]}}}],"schema":"https://github.com/citation-style-language/schema/raw/master/csl-citation.json"} </w:instrText>
        </w:r>
        <w:r w:rsidRPr="00935C7F">
          <w:rPr>
            <w:rStyle w:val="Hyperlink"/>
            <w:rFonts w:ascii="Times New Roman" w:eastAsia="Times New Roman" w:hAnsi="Times New Roman" w:cs="Times New Roman"/>
            <w:sz w:val="24"/>
            <w:szCs w:val="24"/>
            <w:u w:val="none"/>
          </w:rPr>
          <w:fldChar w:fldCharType="separate"/>
        </w:r>
        <w:r w:rsidRPr="00935C7F">
          <w:rPr>
            <w:rStyle w:val="Hyperlink"/>
            <w:rFonts w:ascii="Times New Roman" w:eastAsia="Times New Roman" w:hAnsi="Times New Roman" w:cs="Times New Roman"/>
            <w:sz w:val="24"/>
            <w:szCs w:val="24"/>
            <w:u w:val="none"/>
          </w:rPr>
          <w:t>Al‐mulla &amp; Bradbury (2021)</w:t>
        </w:r>
        <w:r w:rsidRPr="00935C7F">
          <w:rPr>
            <w:rStyle w:val="Hyperlink"/>
            <w:rFonts w:ascii="Times New Roman" w:eastAsia="Times New Roman" w:hAnsi="Times New Roman" w:cs="Times New Roman"/>
            <w:sz w:val="24"/>
            <w:szCs w:val="24"/>
            <w:u w:val="none"/>
          </w:rPr>
          <w:fldChar w:fldCharType="end"/>
        </w:r>
      </w:hyperlink>
      <w:r w:rsidRPr="00935C7F">
        <w:rPr>
          <w:rFonts w:ascii="Times New Roman" w:eastAsia="Times New Roman" w:hAnsi="Times New Roman" w:cs="Times New Roman"/>
          <w:sz w:val="24"/>
          <w:szCs w:val="24"/>
        </w:rPr>
        <w:t xml:space="preserve"> and </w:t>
      </w:r>
      <w:hyperlink w:anchor="Yue" w:history="1">
        <w:r w:rsidRPr="00935C7F">
          <w:rPr>
            <w:rStyle w:val="Hyperlink"/>
            <w:rFonts w:ascii="Times New Roman" w:eastAsia="Times New Roman" w:hAnsi="Times New Roman" w:cs="Times New Roman"/>
            <w:sz w:val="24"/>
            <w:szCs w:val="24"/>
            <w:u w:val="none"/>
          </w:rPr>
          <w:fldChar w:fldCharType="begin"/>
        </w:r>
        <w:r w:rsidRPr="00935C7F">
          <w:rPr>
            <w:rStyle w:val="Hyperlink"/>
            <w:rFonts w:ascii="Times New Roman" w:eastAsia="Times New Roman" w:hAnsi="Times New Roman" w:cs="Times New Roman"/>
            <w:sz w:val="24"/>
            <w:szCs w:val="24"/>
            <w:u w:val="none"/>
          </w:rPr>
          <w:instrText xml:space="preserve"> ADDIN ZOTERO_ITEM CSL_CITATION {"citationID":"a1o4itf3idp","properties":{"formattedCitation":"\\uldash{(Yue, 2022)}","plainCitation":"(Yue, 2022)","dontUpdate":true,"noteIndex":0},"citationItems":[{"id":648,"uris":["http://zotero.org/users/10852507/items/YCW2EVG2"],"itemData":{"id":648,"type":"article-journal","container-title":"BCP Business &amp; Management","DOI":"10.54691/bcpbm.v20i.1026","journalAbbreviation":"BCP Business &amp; Management","page":"519-524","title":"Empirical Study on the Impact of Key Audit Disclosure on Stock Price in Audit Reports","volume":"20","author":[{"family":"Yue","given":"Yingying"}],"issued":{"date-parts":[["2022"]]}}}],"schema":"https://github.com/citation-style-language/schema/raw/master/csl-citation.json"} </w:instrText>
        </w:r>
        <w:r w:rsidRPr="00935C7F">
          <w:rPr>
            <w:rStyle w:val="Hyperlink"/>
            <w:rFonts w:ascii="Times New Roman" w:eastAsia="Times New Roman" w:hAnsi="Times New Roman" w:cs="Times New Roman"/>
            <w:sz w:val="24"/>
            <w:szCs w:val="24"/>
            <w:u w:val="none"/>
          </w:rPr>
          <w:fldChar w:fldCharType="separate"/>
        </w:r>
        <w:r w:rsidRPr="00935C7F">
          <w:rPr>
            <w:rStyle w:val="Hyperlink"/>
            <w:rFonts w:ascii="Times New Roman" w:eastAsia="Times New Roman" w:hAnsi="Times New Roman" w:cs="Times New Roman"/>
            <w:sz w:val="24"/>
            <w:szCs w:val="24"/>
            <w:u w:val="none"/>
          </w:rPr>
          <w:t>Yue (2022)</w:t>
        </w:r>
        <w:r w:rsidRPr="00935C7F">
          <w:rPr>
            <w:rStyle w:val="Hyperlink"/>
            <w:rFonts w:ascii="Times New Roman" w:eastAsia="Times New Roman" w:hAnsi="Times New Roman" w:cs="Times New Roman"/>
            <w:sz w:val="24"/>
            <w:szCs w:val="24"/>
            <w:u w:val="none"/>
          </w:rPr>
          <w:fldChar w:fldCharType="end"/>
        </w:r>
      </w:hyperlink>
      <w:r w:rsidRPr="00935C7F">
        <w:rPr>
          <w:rFonts w:ascii="Times New Roman" w:eastAsia="Times New Roman" w:hAnsi="Times New Roman" w:cs="Times New Roman"/>
          <w:sz w:val="24"/>
          <w:szCs w:val="24"/>
        </w:rPr>
        <w:t>, has explored the role of KAM disclosures in shaping market behavior and stock price fluctuations, these studies tend to focus on more developed markets like New Zealand and China. There is a lack of empirical evidence from Indonesia, a country with a growing capital market but distinct challenges in corporate governance and financial reporting practices. The Indonesian context, particularly in terms of audit committee influence, the regulatory environment, and the interaction between auditors and investors, presents unique dynamics that have yet to be explored in relation to KAM disclosures.</w:t>
      </w:r>
    </w:p>
    <w:p w14:paraId="3127863C" w14:textId="35A07882" w:rsidR="00CA2F34" w:rsidRPr="00935C7F" w:rsidRDefault="007A3B40" w:rsidP="00686421">
      <w:pPr>
        <w:spacing w:after="0"/>
        <w:ind w:firstLine="426"/>
        <w:jc w:val="both"/>
        <w:rPr>
          <w:rFonts w:ascii="Times New Roman" w:eastAsia="Times New Roman" w:hAnsi="Times New Roman" w:cs="Times New Roman"/>
          <w:sz w:val="24"/>
          <w:szCs w:val="24"/>
        </w:rPr>
      </w:pPr>
      <w:r w:rsidRPr="00935C7F">
        <w:rPr>
          <w:rFonts w:ascii="Times New Roman" w:eastAsia="Times New Roman" w:hAnsi="Times New Roman" w:cs="Times New Roman"/>
          <w:sz w:val="24"/>
          <w:szCs w:val="24"/>
        </w:rPr>
        <w:t xml:space="preserve">The literature also lacks a detailed examination of the investment risk mitigation potential of KAM disclosures. While </w:t>
      </w:r>
      <w:hyperlink w:anchor="Matta" w:history="1">
        <w:r w:rsidRPr="00935C7F">
          <w:rPr>
            <w:rStyle w:val="Hyperlink"/>
            <w:rFonts w:ascii="Times New Roman" w:eastAsia="Times New Roman" w:hAnsi="Times New Roman" w:cs="Times New Roman"/>
            <w:sz w:val="24"/>
            <w:szCs w:val="24"/>
            <w:u w:val="none"/>
          </w:rPr>
          <w:fldChar w:fldCharType="begin"/>
        </w:r>
        <w:r w:rsidRPr="00935C7F">
          <w:rPr>
            <w:rStyle w:val="Hyperlink"/>
            <w:rFonts w:ascii="Times New Roman" w:eastAsia="Times New Roman" w:hAnsi="Times New Roman" w:cs="Times New Roman"/>
            <w:sz w:val="24"/>
            <w:szCs w:val="24"/>
            <w:u w:val="none"/>
          </w:rPr>
          <w:instrText xml:space="preserve"> ADDIN ZOTERO_ITEM CSL_CITATION {"citationID":"a1s2ocad0bi","properties":{"formattedCitation":"\\uldash{(Matta &amp; Feghali, 2021)}","plainCitation":"(Matta &amp; Feghali, 2021)","dontUpdate":true,"noteIndex":0},"citationItems":[{"id":647,"uris":["http://zotero.org/users/10852507/items/RYRVMVN7"],"itemData":{"id":647,"type":"article-journal","container-title":"Indonesian Management and Accounting Research","DOI":"10.25105/imar.v19i2.7328","issue":"2","journalAbbreviation":"Indonesian Management and Accounting Research","page":"135-162","title":"The Impact of Key Audit Matters (KAMs) on Financial Information Quality: Evidence From Lebanon","volume":"19","author":[{"family":"Matta","given":"Joëlle"},{"family":"Feghali","given":"Khalil"}],"issued":{"date-parts":[["2021"]]}}}],"schema":"https://github.com/citation-style-language/schema/raw/master/csl-citation.json"} </w:instrText>
        </w:r>
        <w:r w:rsidRPr="00935C7F">
          <w:rPr>
            <w:rStyle w:val="Hyperlink"/>
            <w:rFonts w:ascii="Times New Roman" w:eastAsia="Times New Roman" w:hAnsi="Times New Roman" w:cs="Times New Roman"/>
            <w:sz w:val="24"/>
            <w:szCs w:val="24"/>
            <w:u w:val="none"/>
          </w:rPr>
          <w:fldChar w:fldCharType="separate"/>
        </w:r>
        <w:r w:rsidRPr="00935C7F">
          <w:rPr>
            <w:rStyle w:val="Hyperlink"/>
            <w:rFonts w:ascii="Times New Roman" w:eastAsia="Times New Roman" w:hAnsi="Times New Roman" w:cs="Times New Roman"/>
            <w:sz w:val="24"/>
            <w:szCs w:val="24"/>
            <w:u w:val="none"/>
          </w:rPr>
          <w:t>Matta &amp; Feghali (2021)</w:t>
        </w:r>
        <w:r w:rsidRPr="00935C7F">
          <w:rPr>
            <w:rStyle w:val="Hyperlink"/>
            <w:rFonts w:ascii="Times New Roman" w:eastAsia="Times New Roman" w:hAnsi="Times New Roman" w:cs="Times New Roman"/>
            <w:sz w:val="24"/>
            <w:szCs w:val="24"/>
            <w:u w:val="none"/>
          </w:rPr>
          <w:fldChar w:fldCharType="end"/>
        </w:r>
      </w:hyperlink>
      <w:r w:rsidRPr="00935C7F">
        <w:rPr>
          <w:rFonts w:ascii="Times New Roman" w:eastAsia="Times New Roman" w:hAnsi="Times New Roman" w:cs="Times New Roman"/>
          <w:sz w:val="24"/>
          <w:szCs w:val="24"/>
        </w:rPr>
        <w:t xml:space="preserve"> and </w:t>
      </w:r>
      <w:hyperlink w:anchor="Kend" w:history="1">
        <w:r w:rsidRPr="00935C7F">
          <w:rPr>
            <w:rStyle w:val="Hyperlink"/>
            <w:rFonts w:ascii="Times New Roman" w:eastAsia="Times New Roman" w:hAnsi="Times New Roman" w:cs="Times New Roman"/>
            <w:sz w:val="24"/>
            <w:szCs w:val="24"/>
            <w:u w:val="none"/>
          </w:rPr>
          <w:fldChar w:fldCharType="begin"/>
        </w:r>
        <w:r w:rsidRPr="00935C7F">
          <w:rPr>
            <w:rStyle w:val="Hyperlink"/>
            <w:rFonts w:ascii="Times New Roman" w:eastAsia="Times New Roman" w:hAnsi="Times New Roman" w:cs="Times New Roman"/>
            <w:sz w:val="24"/>
            <w:szCs w:val="24"/>
            <w:u w:val="none"/>
          </w:rPr>
          <w:instrText xml:space="preserve"> ADDIN ZOTERO_ITEM CSL_CITATION {"citationID":"al88rpslcd","properties":{"formattedCitation":"\\uldash{(Kend &amp; Nguyen, 2022)}","plainCitation":"(Kend &amp; Nguyen, 2022)","dontUpdate":true,"noteIndex":0},"citationItems":[{"id":706,"uris":["http://zotero.org/users/10852507/items/SQG338LC"],"itemData":{"id":706,"type":"article-journal","container-title":"Managerial Auditing Journal","DOI":"10.1108/maj-07-2021-3225","issue":"7","journalAbbreviation":"Managerial Auditing Journal","page":"798-818","title":"Key Audit Risks and Audit Procedures During the Initial Year of the COVID-19 Pandemic: An Analysis of Audit Reports 2019-2020","volume":"37","author":[{"family":"Kend","given":"Michael"},{"family":"Nguyen","given":"Lan A."}],"issued":{"date-parts":[["2022"]]}}}],"schema":"https://github.com/citation-style-language/schema/raw/master/csl-citation.json"} </w:instrText>
        </w:r>
        <w:r w:rsidRPr="00935C7F">
          <w:rPr>
            <w:rStyle w:val="Hyperlink"/>
            <w:rFonts w:ascii="Times New Roman" w:eastAsia="Times New Roman" w:hAnsi="Times New Roman" w:cs="Times New Roman"/>
            <w:sz w:val="24"/>
            <w:szCs w:val="24"/>
            <w:u w:val="none"/>
          </w:rPr>
          <w:fldChar w:fldCharType="separate"/>
        </w:r>
        <w:r w:rsidRPr="00935C7F">
          <w:rPr>
            <w:rStyle w:val="Hyperlink"/>
            <w:rFonts w:ascii="Times New Roman" w:eastAsia="Times New Roman" w:hAnsi="Times New Roman" w:cs="Times New Roman"/>
            <w:sz w:val="24"/>
            <w:szCs w:val="24"/>
            <w:u w:val="none"/>
          </w:rPr>
          <w:t>Kend &amp; Nguyen (2022)</w:t>
        </w:r>
        <w:r w:rsidRPr="00935C7F">
          <w:rPr>
            <w:rStyle w:val="Hyperlink"/>
            <w:rFonts w:ascii="Times New Roman" w:eastAsia="Times New Roman" w:hAnsi="Times New Roman" w:cs="Times New Roman"/>
            <w:sz w:val="24"/>
            <w:szCs w:val="24"/>
            <w:u w:val="none"/>
          </w:rPr>
          <w:fldChar w:fldCharType="end"/>
        </w:r>
      </w:hyperlink>
      <w:r w:rsidRPr="00935C7F">
        <w:rPr>
          <w:rFonts w:ascii="Times New Roman" w:eastAsia="Times New Roman" w:hAnsi="Times New Roman" w:cs="Times New Roman"/>
          <w:sz w:val="24"/>
          <w:szCs w:val="24"/>
        </w:rPr>
        <w:t xml:space="preserve"> show that KAM disclosures can enhance transparency and reduce the expectation gap, their impact on investment risk—measured in terms of stock volatility, risk premiums, or investor sentiment—has not been systematically investigated. Moreover, there is insufficient evidence on whether the specific content of KAM disclosures (e.g., the complexity of the issues disclosed or the tone used) affects investor behavior and, consequently, mitigates risk. The nuanced role of </w:t>
      </w:r>
      <w:r w:rsidR="00BE4252" w:rsidRPr="00935C7F">
        <w:rPr>
          <w:rFonts w:ascii="Times New Roman" w:eastAsia="Times New Roman" w:hAnsi="Times New Roman" w:cs="Times New Roman"/>
          <w:sz w:val="24"/>
          <w:szCs w:val="24"/>
        </w:rPr>
        <w:t>KAM</w:t>
      </w:r>
      <w:r w:rsidRPr="00935C7F">
        <w:rPr>
          <w:rFonts w:ascii="Times New Roman" w:eastAsia="Times New Roman" w:hAnsi="Times New Roman" w:cs="Times New Roman"/>
          <w:sz w:val="24"/>
          <w:szCs w:val="24"/>
        </w:rPr>
        <w:t xml:space="preserve"> in reducing information asymmetry and enhancing investor confidence in financial statements, especially during periods of economic uncertainty or crisis, remains underexplored.</w:t>
      </w:r>
    </w:p>
    <w:p w14:paraId="707BE8D0" w14:textId="0F3FDFFE" w:rsidR="007A3B40" w:rsidRPr="00935C7F" w:rsidRDefault="007A3B40" w:rsidP="00686421">
      <w:pPr>
        <w:spacing w:after="0"/>
        <w:ind w:firstLine="426"/>
        <w:jc w:val="both"/>
        <w:rPr>
          <w:rFonts w:ascii="Times New Roman" w:eastAsia="Times New Roman" w:hAnsi="Times New Roman" w:cs="Times New Roman"/>
          <w:sz w:val="24"/>
          <w:szCs w:val="24"/>
        </w:rPr>
      </w:pPr>
      <w:r w:rsidRPr="00935C7F">
        <w:rPr>
          <w:rFonts w:ascii="Times New Roman" w:eastAsia="Times New Roman" w:hAnsi="Times New Roman" w:cs="Times New Roman"/>
          <w:sz w:val="24"/>
          <w:szCs w:val="24"/>
        </w:rPr>
        <w:t xml:space="preserve">This research aims to fill these gaps by investigating the relationship between KAM disclosures and investment risk mitigation in Indonesia. By focusing on the impact of KAM disclosures on stock volatility, investor sentiment, and the perception of audit quality, this study will contribute to the literature by providing new insights into the effectiveness of KAM disclosures in emerging market contexts. Additionally, this research will explore how firm-specific factors (such as governance structures and financial health) </w:t>
      </w:r>
      <w:r w:rsidRPr="00935C7F">
        <w:rPr>
          <w:rFonts w:ascii="Times New Roman" w:eastAsia="Times New Roman" w:hAnsi="Times New Roman" w:cs="Times New Roman"/>
          <w:sz w:val="24"/>
          <w:szCs w:val="24"/>
        </w:rPr>
        <w:lastRenderedPageBreak/>
        <w:t>influence the extent to which KAM disclosures reduce perceived investment risk, offering a more comprehensive understanding of the value of KAM disclosures in mitigating risk.</w:t>
      </w:r>
    </w:p>
    <w:p w14:paraId="5C9F5F02" w14:textId="3861A67A" w:rsidR="007A3B40" w:rsidRPr="00935C7F" w:rsidRDefault="007A3B40" w:rsidP="00686421">
      <w:pPr>
        <w:spacing w:after="0"/>
        <w:ind w:firstLine="426"/>
        <w:jc w:val="both"/>
        <w:rPr>
          <w:rFonts w:ascii="Times New Roman" w:eastAsia="Times New Roman" w:hAnsi="Times New Roman" w:cs="Times New Roman"/>
          <w:sz w:val="24"/>
          <w:szCs w:val="24"/>
        </w:rPr>
      </w:pPr>
      <w:r w:rsidRPr="00935C7F">
        <w:rPr>
          <w:rFonts w:ascii="Times New Roman" w:eastAsia="Times New Roman" w:hAnsi="Times New Roman" w:cs="Times New Roman"/>
          <w:sz w:val="24"/>
          <w:szCs w:val="24"/>
        </w:rPr>
        <w:t xml:space="preserve">Thus, while the literature provides broad insights into the role of KAM disclosures in mitigating investment risks, there is a substantial gap in research focusing on Indonesia. A more in-depth exploration of how KAM disclosures operate within Indonesia’s regulatory framework, the behavioral patterns of its investors, and the role of audit committees in these processes is essential for a comprehensive understanding of how </w:t>
      </w:r>
      <w:r w:rsidR="00BE4252" w:rsidRPr="00935C7F">
        <w:rPr>
          <w:rFonts w:ascii="Times New Roman" w:eastAsia="Times New Roman" w:hAnsi="Times New Roman" w:cs="Times New Roman"/>
          <w:sz w:val="24"/>
          <w:szCs w:val="24"/>
        </w:rPr>
        <w:t>KAM</w:t>
      </w:r>
      <w:r w:rsidRPr="00935C7F">
        <w:rPr>
          <w:rFonts w:ascii="Times New Roman" w:eastAsia="Times New Roman" w:hAnsi="Times New Roman" w:cs="Times New Roman"/>
          <w:sz w:val="24"/>
          <w:szCs w:val="24"/>
        </w:rPr>
        <w:t xml:space="preserve"> can contribute to risk mitigation in emerging markets like Indonesia. This research gap offers an opportunity to extend the existing body of knowledge on KAM disclosures and their potential </w:t>
      </w:r>
      <w:r w:rsidR="00706D1A">
        <w:rPr>
          <w:rFonts w:ascii="Times New Roman" w:eastAsia="Times New Roman" w:hAnsi="Times New Roman" w:cs="Times New Roman"/>
          <w:sz w:val="24"/>
          <w:szCs w:val="24"/>
        </w:rPr>
        <w:t>to promote</w:t>
      </w:r>
      <w:r w:rsidRPr="00935C7F">
        <w:rPr>
          <w:rFonts w:ascii="Times New Roman" w:eastAsia="Times New Roman" w:hAnsi="Times New Roman" w:cs="Times New Roman"/>
          <w:sz w:val="24"/>
          <w:szCs w:val="24"/>
        </w:rPr>
        <w:t xml:space="preserve"> financial stability and investor confidence in Indonesia.</w:t>
      </w:r>
    </w:p>
    <w:p w14:paraId="72EFCD39" w14:textId="690CBBD9" w:rsidR="007A3B40" w:rsidRPr="00935C7F" w:rsidRDefault="007A3B40" w:rsidP="00686421">
      <w:pPr>
        <w:spacing w:after="0"/>
        <w:ind w:firstLine="426"/>
        <w:jc w:val="both"/>
        <w:rPr>
          <w:rFonts w:ascii="Times New Roman" w:eastAsia="Times New Roman" w:hAnsi="Times New Roman" w:cs="Times New Roman"/>
          <w:sz w:val="24"/>
          <w:szCs w:val="24"/>
        </w:rPr>
      </w:pPr>
      <w:r w:rsidRPr="00935C7F">
        <w:rPr>
          <w:rFonts w:ascii="Times New Roman" w:eastAsia="Times New Roman" w:hAnsi="Times New Roman" w:cs="Times New Roman"/>
          <w:sz w:val="24"/>
          <w:szCs w:val="24"/>
        </w:rPr>
        <w:t>This paper is organized as follows: the introduction identifies the research gap and the need for studies focusing on Indonesia. The following sections review the literature on KAM disclosures, their impact on investment risk, and the theoretical framework. The methodology outlines the empirical approach to assessing KAM's role in the Indonesian market. The results section presents key findings, and the conclusion summarizes these findings, discusses their implications, and suggests avenues for future research.</w:t>
      </w:r>
    </w:p>
    <w:p w14:paraId="4667188F" w14:textId="77777777" w:rsidR="007A3B40" w:rsidRPr="00935C7F" w:rsidRDefault="007A3B40" w:rsidP="00686421">
      <w:pPr>
        <w:spacing w:after="0"/>
        <w:ind w:firstLine="426"/>
        <w:jc w:val="both"/>
        <w:rPr>
          <w:rFonts w:ascii="Times New Roman" w:eastAsia="Times New Roman" w:hAnsi="Times New Roman" w:cs="Times New Roman"/>
          <w:sz w:val="24"/>
          <w:szCs w:val="24"/>
        </w:rPr>
      </w:pPr>
    </w:p>
    <w:p w14:paraId="5D0A980F" w14:textId="2C24660E" w:rsidR="00FE0406" w:rsidRPr="00935C7F" w:rsidRDefault="007A3B40" w:rsidP="00686421">
      <w:pPr>
        <w:numPr>
          <w:ilvl w:val="0"/>
          <w:numId w:val="1"/>
        </w:numPr>
        <w:pBdr>
          <w:top w:val="nil"/>
          <w:left w:val="nil"/>
          <w:bottom w:val="nil"/>
          <w:right w:val="nil"/>
          <w:between w:val="nil"/>
        </w:pBdr>
        <w:spacing w:after="0"/>
        <w:ind w:left="426" w:hanging="426"/>
        <w:jc w:val="both"/>
        <w:rPr>
          <w:rFonts w:ascii="Times New Roman" w:eastAsia="Times New Roman" w:hAnsi="Times New Roman" w:cs="Times New Roman"/>
          <w:b/>
          <w:color w:val="000000"/>
          <w:sz w:val="24"/>
          <w:szCs w:val="24"/>
        </w:rPr>
      </w:pPr>
      <w:r w:rsidRPr="00935C7F">
        <w:rPr>
          <w:rFonts w:ascii="Times New Roman" w:eastAsia="Times New Roman" w:hAnsi="Times New Roman" w:cs="Times New Roman"/>
          <w:b/>
          <w:color w:val="000000"/>
          <w:sz w:val="24"/>
          <w:szCs w:val="24"/>
        </w:rPr>
        <w:t>Literature Review and Hypothesis Development</w:t>
      </w:r>
    </w:p>
    <w:p w14:paraId="178452DC" w14:textId="77777777" w:rsidR="00606A0C" w:rsidRDefault="007A3B40" w:rsidP="00686421">
      <w:pPr>
        <w:spacing w:after="0"/>
        <w:ind w:firstLine="426"/>
        <w:jc w:val="both"/>
        <w:rPr>
          <w:rFonts w:ascii="Times New Roman" w:eastAsia="Times New Roman" w:hAnsi="Times New Roman" w:cs="Times New Roman"/>
          <w:sz w:val="24"/>
          <w:szCs w:val="24"/>
          <w:lang w:val="id-ID"/>
        </w:rPr>
      </w:pPr>
      <w:r w:rsidRPr="00935C7F">
        <w:rPr>
          <w:rFonts w:ascii="Times New Roman" w:eastAsia="Times New Roman" w:hAnsi="Times New Roman" w:cs="Times New Roman"/>
          <w:sz w:val="24"/>
          <w:szCs w:val="24"/>
        </w:rPr>
        <w:t>Key Audit Matters (</w:t>
      </w:r>
      <w:r w:rsidR="00BE4252" w:rsidRPr="00935C7F">
        <w:rPr>
          <w:rFonts w:ascii="Times New Roman" w:eastAsia="Times New Roman" w:hAnsi="Times New Roman" w:cs="Times New Roman"/>
          <w:sz w:val="24"/>
          <w:szCs w:val="24"/>
        </w:rPr>
        <w:t>KAM</w:t>
      </w:r>
      <w:r w:rsidRPr="00935C7F">
        <w:rPr>
          <w:rFonts w:ascii="Times New Roman" w:eastAsia="Times New Roman" w:hAnsi="Times New Roman" w:cs="Times New Roman"/>
          <w:sz w:val="24"/>
          <w:szCs w:val="24"/>
        </w:rPr>
        <w:t>) are defined as areas of significant risk of material misstatement in financial reports that auditors identify in their audit reports.</w:t>
      </w:r>
      <w:r w:rsidR="0055795D" w:rsidRPr="00935C7F">
        <w:rPr>
          <w:rFonts w:ascii="Segoe UI" w:hAnsi="Segoe UI" w:cs="Segoe UI"/>
          <w:color w:val="404040"/>
          <w:shd w:val="clear" w:color="auto" w:fill="FFFFFF"/>
        </w:rPr>
        <w:t xml:space="preserve"> </w:t>
      </w:r>
      <w:r w:rsidR="0055795D" w:rsidRPr="00935C7F">
        <w:rPr>
          <w:rFonts w:ascii="Times New Roman" w:eastAsia="Times New Roman" w:hAnsi="Times New Roman" w:cs="Times New Roman"/>
          <w:sz w:val="24"/>
          <w:szCs w:val="24"/>
        </w:rPr>
        <w:t> Grounded in information asymmetry theory </w:t>
      </w:r>
      <w:r w:rsidR="005405AC" w:rsidRPr="00935C7F">
        <w:rPr>
          <w:rFonts w:ascii="Times New Roman" w:eastAsia="Times New Roman" w:hAnsi="Times New Roman" w:cs="Times New Roman"/>
          <w:sz w:val="24"/>
          <w:szCs w:val="24"/>
        </w:rPr>
        <w:fldChar w:fldCharType="begin"/>
      </w:r>
      <w:r w:rsidR="005405AC" w:rsidRPr="00935C7F">
        <w:rPr>
          <w:rFonts w:ascii="Times New Roman" w:eastAsia="Times New Roman" w:hAnsi="Times New Roman" w:cs="Times New Roman"/>
          <w:sz w:val="24"/>
          <w:szCs w:val="24"/>
        </w:rPr>
        <w:instrText xml:space="preserve"> ADDIN ZOTERO_ITEM CSL_CITATION {"citationID":"s2wTORjo","properties":{"formattedCitation":"(Akerlof, 1970)","plainCitation":"(Akerlof, 1970)","noteIndex":0},"citationItems":[{"id":790,"uris":["http://zotero.org/users/10852507/items/LX7I9VU4"],"itemData":{"id":790,"type":"article-journal","abstract":"[I. Introduction, 488.--II. The model with automobiles as an example, 489.--III. Examples and applications, 492.--IV. Counteracting institutions, 499.--V. Conclusion, 500.]","archive":"JSTOR","container-title":"The Quarterly Journal of Economics","ISSN":"00335533, 15314650","issue":"3","note":"publisher: Oxford University Press","page":"488-500","title":"The Market for \"Lemons\": Quality Uncertainty and the Market Mechanism","volume":"84","author":[{"family":"Akerlof","given":"George A."}],"issued":{"date-parts":[["1970"]]}}}],"schema":"https://github.com/citation-style-language/schema/raw/master/csl-citation.json"} </w:instrText>
      </w:r>
      <w:r w:rsidR="005405AC" w:rsidRPr="00935C7F">
        <w:rPr>
          <w:rFonts w:ascii="Times New Roman" w:eastAsia="Times New Roman" w:hAnsi="Times New Roman" w:cs="Times New Roman"/>
          <w:sz w:val="24"/>
          <w:szCs w:val="24"/>
        </w:rPr>
        <w:fldChar w:fldCharType="separate"/>
      </w:r>
      <w:r w:rsidR="005405AC" w:rsidRPr="00935C7F">
        <w:rPr>
          <w:rFonts w:ascii="Times New Roman" w:hAnsi="Times New Roman" w:cs="Times New Roman"/>
          <w:sz w:val="24"/>
        </w:rPr>
        <w:t>(</w:t>
      </w:r>
      <w:hyperlink w:anchor="Akerlof" w:history="1">
        <w:r w:rsidR="005405AC" w:rsidRPr="00935C7F">
          <w:rPr>
            <w:rStyle w:val="Hyperlink"/>
            <w:rFonts w:ascii="Times New Roman" w:hAnsi="Times New Roman" w:cs="Times New Roman"/>
            <w:sz w:val="24"/>
            <w:u w:val="none"/>
          </w:rPr>
          <w:t>Akerlof, 1970</w:t>
        </w:r>
      </w:hyperlink>
      <w:r w:rsidR="005405AC" w:rsidRPr="00935C7F">
        <w:rPr>
          <w:rFonts w:ascii="Times New Roman" w:hAnsi="Times New Roman" w:cs="Times New Roman"/>
          <w:sz w:val="24"/>
        </w:rPr>
        <w:t>)</w:t>
      </w:r>
      <w:r w:rsidR="005405AC" w:rsidRPr="00935C7F">
        <w:rPr>
          <w:rFonts w:ascii="Times New Roman" w:eastAsia="Times New Roman" w:hAnsi="Times New Roman" w:cs="Times New Roman"/>
          <w:sz w:val="24"/>
          <w:szCs w:val="24"/>
        </w:rPr>
        <w:fldChar w:fldCharType="end"/>
      </w:r>
      <w:r w:rsidR="0055795D" w:rsidRPr="00935C7F">
        <w:rPr>
          <w:rFonts w:ascii="Times New Roman" w:eastAsia="Times New Roman" w:hAnsi="Times New Roman" w:cs="Times New Roman"/>
          <w:sz w:val="24"/>
          <w:szCs w:val="24"/>
        </w:rPr>
        <w:t xml:space="preserve"> and signaling theory </w:t>
      </w:r>
      <w:r w:rsidR="005405AC" w:rsidRPr="00935C7F">
        <w:rPr>
          <w:rFonts w:ascii="Times New Roman" w:eastAsia="Times New Roman" w:hAnsi="Times New Roman" w:cs="Times New Roman"/>
          <w:sz w:val="24"/>
          <w:szCs w:val="24"/>
        </w:rPr>
        <w:fldChar w:fldCharType="begin"/>
      </w:r>
      <w:r w:rsidR="005405AC" w:rsidRPr="00935C7F">
        <w:rPr>
          <w:rFonts w:ascii="Times New Roman" w:eastAsia="Times New Roman" w:hAnsi="Times New Roman" w:cs="Times New Roman"/>
          <w:sz w:val="24"/>
          <w:szCs w:val="24"/>
        </w:rPr>
        <w:instrText xml:space="preserve"> ADDIN ZOTERO_ITEM CSL_CITATION {"citationID":"UlElmUR1","properties":{"formattedCitation":"(Spence, 1973)","plainCitation":"(Spence, 1973)","noteIndex":0},"citationItems":[{"id":791,"uris":["http://zotero.org/users/10852507/items/92AFFXKU"],"itemData":{"id":791,"type":"article-journal","abstract":"[I. Introduction 355.--2. Hiring as investment under uncertainty, 356.--3 Applicant signaling, 358.--4. Informational feedback and the definition of equilibrium, 359.--5. Properties of informational equilibria: An example, 361.--6. The informational impact of indices, 368.--Conclusions, 374.]","archive":"JSTOR","container-title":"The Quarterly Journal of Economics","DOI":"10.2307/1882010","ISSN":"00335533, 15314650","issue":"3","note":"publisher: Oxford University Press","page":"355-374","title":"Job Market Signaling","volume":"87","author":[{"family":"Spence","given":"Michael"}],"issued":{"date-parts":[["1973"]]}}}],"schema":"https://github.com/citation-style-language/schema/raw/master/csl-citation.json"} </w:instrText>
      </w:r>
      <w:r w:rsidR="005405AC" w:rsidRPr="00935C7F">
        <w:rPr>
          <w:rFonts w:ascii="Times New Roman" w:eastAsia="Times New Roman" w:hAnsi="Times New Roman" w:cs="Times New Roman"/>
          <w:sz w:val="24"/>
          <w:szCs w:val="24"/>
        </w:rPr>
        <w:fldChar w:fldCharType="separate"/>
      </w:r>
      <w:r w:rsidR="005405AC" w:rsidRPr="00935C7F">
        <w:rPr>
          <w:rFonts w:ascii="Times New Roman" w:hAnsi="Times New Roman" w:cs="Times New Roman"/>
          <w:sz w:val="24"/>
        </w:rPr>
        <w:t>(</w:t>
      </w:r>
      <w:hyperlink w:anchor="Spence" w:history="1">
        <w:r w:rsidR="005405AC" w:rsidRPr="00935C7F">
          <w:rPr>
            <w:rStyle w:val="Hyperlink"/>
            <w:rFonts w:ascii="Times New Roman" w:hAnsi="Times New Roman" w:cs="Times New Roman"/>
            <w:sz w:val="24"/>
            <w:u w:val="none"/>
          </w:rPr>
          <w:t>Spence, 1973</w:t>
        </w:r>
      </w:hyperlink>
      <w:r w:rsidR="005405AC" w:rsidRPr="00935C7F">
        <w:rPr>
          <w:rFonts w:ascii="Times New Roman" w:hAnsi="Times New Roman" w:cs="Times New Roman"/>
          <w:sz w:val="24"/>
        </w:rPr>
        <w:t>)</w:t>
      </w:r>
      <w:r w:rsidR="005405AC" w:rsidRPr="00935C7F">
        <w:rPr>
          <w:rFonts w:ascii="Times New Roman" w:eastAsia="Times New Roman" w:hAnsi="Times New Roman" w:cs="Times New Roman"/>
          <w:sz w:val="24"/>
          <w:szCs w:val="24"/>
        </w:rPr>
        <w:fldChar w:fldCharType="end"/>
      </w:r>
      <w:r w:rsidR="0055795D" w:rsidRPr="00935C7F">
        <w:rPr>
          <w:rFonts w:ascii="Times New Roman" w:eastAsia="Times New Roman" w:hAnsi="Times New Roman" w:cs="Times New Roman"/>
          <w:sz w:val="24"/>
          <w:szCs w:val="24"/>
        </w:rPr>
        <w:t xml:space="preserve">, the inclusion of </w:t>
      </w:r>
      <w:r w:rsidR="00BE4252" w:rsidRPr="00935C7F">
        <w:rPr>
          <w:rFonts w:ascii="Times New Roman" w:eastAsia="Times New Roman" w:hAnsi="Times New Roman" w:cs="Times New Roman"/>
          <w:sz w:val="24"/>
          <w:szCs w:val="24"/>
        </w:rPr>
        <w:t>KAM</w:t>
      </w:r>
      <w:r w:rsidR="0055795D" w:rsidRPr="00935C7F">
        <w:rPr>
          <w:rFonts w:ascii="Times New Roman" w:eastAsia="Times New Roman" w:hAnsi="Times New Roman" w:cs="Times New Roman"/>
          <w:sz w:val="24"/>
          <w:szCs w:val="24"/>
        </w:rPr>
        <w:t xml:space="preserve"> addresses market inefficiencies by reducing information gaps between auditors and stakeholders. </w:t>
      </w:r>
      <w:r w:rsidRPr="00935C7F">
        <w:rPr>
          <w:rFonts w:ascii="Times New Roman" w:eastAsia="Times New Roman" w:hAnsi="Times New Roman" w:cs="Times New Roman"/>
          <w:sz w:val="24"/>
          <w:szCs w:val="24"/>
        </w:rPr>
        <w:t xml:space="preserve">The inclusion of </w:t>
      </w:r>
      <w:r w:rsidR="00BE4252" w:rsidRPr="00935C7F">
        <w:rPr>
          <w:rFonts w:ascii="Times New Roman" w:eastAsia="Times New Roman" w:hAnsi="Times New Roman" w:cs="Times New Roman"/>
          <w:sz w:val="24"/>
          <w:szCs w:val="24"/>
        </w:rPr>
        <w:t>KAM</w:t>
      </w:r>
      <w:r w:rsidRPr="00935C7F">
        <w:rPr>
          <w:rFonts w:ascii="Times New Roman" w:eastAsia="Times New Roman" w:hAnsi="Times New Roman" w:cs="Times New Roman"/>
          <w:sz w:val="24"/>
          <w:szCs w:val="24"/>
        </w:rPr>
        <w:t xml:space="preserve"> is posited to enhance the transparency of corporate disclosures and ultimately mitigate investment risk. This review examines the existing literature regarding </w:t>
      </w:r>
      <w:r w:rsidR="00BE4252" w:rsidRPr="00935C7F">
        <w:rPr>
          <w:rFonts w:ascii="Times New Roman" w:eastAsia="Times New Roman" w:hAnsi="Times New Roman" w:cs="Times New Roman"/>
          <w:sz w:val="24"/>
          <w:szCs w:val="24"/>
        </w:rPr>
        <w:t>KAM</w:t>
      </w:r>
      <w:r w:rsidRPr="00935C7F">
        <w:rPr>
          <w:rFonts w:ascii="Times New Roman" w:eastAsia="Times New Roman" w:hAnsi="Times New Roman" w:cs="Times New Roman"/>
          <w:sz w:val="24"/>
          <w:szCs w:val="24"/>
        </w:rPr>
        <w:t xml:space="preserve"> in the context of Indonesia, focusing on how they influence investor behavior and corporate governance.</w:t>
      </w:r>
    </w:p>
    <w:p w14:paraId="3A636058" w14:textId="77777777" w:rsidR="00606A0C" w:rsidRDefault="007A3B40" w:rsidP="00686421">
      <w:pPr>
        <w:spacing w:after="0"/>
        <w:ind w:firstLine="426"/>
        <w:jc w:val="both"/>
        <w:rPr>
          <w:rFonts w:ascii="Times New Roman" w:eastAsia="Times New Roman" w:hAnsi="Times New Roman" w:cs="Times New Roman"/>
          <w:sz w:val="24"/>
          <w:szCs w:val="24"/>
          <w:lang w:val="id-ID"/>
        </w:rPr>
      </w:pPr>
      <w:r w:rsidRPr="00935C7F">
        <w:rPr>
          <w:rFonts w:ascii="Times New Roman" w:eastAsia="Times New Roman" w:hAnsi="Times New Roman" w:cs="Times New Roman"/>
          <w:sz w:val="24"/>
          <w:szCs w:val="24"/>
          <w:lang w:val="id-ID"/>
        </w:rPr>
        <w:t>The accuracy and completeness of financial disclosures are critical for investors in assessing investment quality</w:t>
      </w:r>
      <w:r w:rsidR="00371AAF" w:rsidRPr="00935C7F">
        <w:rPr>
          <w:rFonts w:ascii="Times New Roman" w:eastAsia="Times New Roman" w:hAnsi="Times New Roman" w:cs="Times New Roman"/>
          <w:sz w:val="24"/>
          <w:szCs w:val="24"/>
          <w:lang w:val="id-ID"/>
        </w:rPr>
        <w:t xml:space="preserve"> </w:t>
      </w:r>
      <w:r w:rsidR="00371AAF" w:rsidRPr="00935C7F">
        <w:rPr>
          <w:rFonts w:ascii="Times New Roman" w:eastAsia="Aptos" w:hAnsi="Times New Roman" w:cs="Arial"/>
          <w:kern w:val="2"/>
          <w:sz w:val="24"/>
          <w:lang w:val="id-ID" w:eastAsia="en-US"/>
          <w14:ligatures w14:val="standardContextual"/>
        </w:rPr>
        <w:fldChar w:fldCharType="begin"/>
      </w:r>
      <w:r w:rsidR="00371AAF" w:rsidRPr="00935C7F">
        <w:rPr>
          <w:rFonts w:ascii="Times New Roman" w:eastAsia="Aptos" w:hAnsi="Times New Roman" w:cs="Arial"/>
          <w:kern w:val="2"/>
          <w:sz w:val="24"/>
          <w:lang w:val="id-ID" w:eastAsia="en-US"/>
          <w14:ligatures w14:val="standardContextual"/>
        </w:rPr>
        <w:instrText xml:space="preserve"> ADDIN ZOTERO_ITEM CSL_CITATION {"citationID":"78f8OFKB","properties":{"formattedCitation":"(Adil et al., 2021; Al-Hadrami et al., 2020)","plainCitation":"(Adil et al., 2021; Al-Hadrami et al., 2020)","noteIndex":0},"citationItems":[{"id":684,"uris":["http://zotero.org/users/10852507/items/Q6PMPP9T"],"itemData":{"id":684,"type":"article-journal","container-title":"Asian Journal of Accounting Research","DOI":"10.1108/ajar-09-2020-0086","issue":"1","journalAbbreviation":"Asian Journal of Accounting Research","page":"17-30","title":"How Financial Literacy Moderate the Association Between Behaviour Biases and Investment Decision?","volume":"7","author":[{"family":"Adil","given":"Mohd"},{"family":"Singh","given":"Yogita"},{"family":"Ansari","given":"Mohd S."}],"issued":{"date-parts":[["2021"]]}}},{"id":653,"uris":["http://zotero.org/users/10852507/items/WSDAS5WQ"],"itemData":{"id":653,"type":"article-journal","container-title":"Journal of Investment Compliance","DOI":"10.1108/joic-05-2020-0005","issue":"1","journalAbbreviation":"Journal of Investment Compliance","page":"29-48","title":"Is the Investment Decision Affected by the Independence and Competence of the Audit Committee? A Comparative Study Between Bahrain and Indonesia","volume":"21","author":[{"family":"Al-Hadrami","given":"Abdullah H."},{"family":"Rafiki","given":"Ahmad"},{"family":"Sarea","given":"Adel"},{"literal":"Muhammad Dharma Tuah Putra Nasution"}],"issued":{"date-parts":[["2020"]]}}}],"schema":"https://github.com/citation-style-language/schema/raw/master/csl-citation.json"} </w:instrText>
      </w:r>
      <w:r w:rsidR="00371AAF" w:rsidRPr="00935C7F">
        <w:rPr>
          <w:rFonts w:ascii="Times New Roman" w:eastAsia="Aptos" w:hAnsi="Times New Roman" w:cs="Arial"/>
          <w:kern w:val="2"/>
          <w:sz w:val="24"/>
          <w:lang w:val="id-ID" w:eastAsia="en-US"/>
          <w14:ligatures w14:val="standardContextual"/>
        </w:rPr>
        <w:fldChar w:fldCharType="separate"/>
      </w:r>
      <w:r w:rsidR="00371AAF" w:rsidRPr="00935C7F">
        <w:rPr>
          <w:rFonts w:ascii="Times New Roman" w:eastAsia="Aptos" w:hAnsi="Times New Roman" w:cs="Times New Roman"/>
          <w:kern w:val="2"/>
          <w:sz w:val="24"/>
          <w:lang w:val="id-ID" w:eastAsia="en-US"/>
          <w14:ligatures w14:val="standardContextual"/>
        </w:rPr>
        <w:t>(</w:t>
      </w:r>
      <w:hyperlink w:anchor="Adil" w:history="1">
        <w:r w:rsidR="00371AAF" w:rsidRPr="00935C7F">
          <w:rPr>
            <w:rStyle w:val="Hyperlink"/>
            <w:rFonts w:ascii="Times New Roman" w:eastAsia="Aptos" w:hAnsi="Times New Roman" w:cs="Times New Roman"/>
            <w:kern w:val="2"/>
            <w:sz w:val="24"/>
            <w:u w:val="none"/>
            <w:lang w:val="id-ID" w:eastAsia="en-US"/>
            <w14:ligatures w14:val="standardContextual"/>
          </w:rPr>
          <w:t>Adil et al., 2021</w:t>
        </w:r>
      </w:hyperlink>
      <w:r w:rsidR="00371AAF" w:rsidRPr="00935C7F">
        <w:rPr>
          <w:rFonts w:ascii="Times New Roman" w:eastAsia="Aptos" w:hAnsi="Times New Roman" w:cs="Times New Roman"/>
          <w:kern w:val="2"/>
          <w:sz w:val="24"/>
          <w:lang w:val="id-ID" w:eastAsia="en-US"/>
          <w14:ligatures w14:val="standardContextual"/>
        </w:rPr>
        <w:t xml:space="preserve">; </w:t>
      </w:r>
      <w:hyperlink w:anchor="AlHadrami" w:history="1">
        <w:r w:rsidR="00371AAF" w:rsidRPr="00935C7F">
          <w:rPr>
            <w:rStyle w:val="Hyperlink"/>
            <w:rFonts w:ascii="Times New Roman" w:eastAsia="Aptos" w:hAnsi="Times New Roman" w:cs="Times New Roman"/>
            <w:kern w:val="2"/>
            <w:sz w:val="24"/>
            <w:u w:val="none"/>
            <w:lang w:val="id-ID" w:eastAsia="en-US"/>
            <w14:ligatures w14:val="standardContextual"/>
          </w:rPr>
          <w:t>Al-Hadrami et al., 2020</w:t>
        </w:r>
      </w:hyperlink>
      <w:r w:rsidR="00371AAF" w:rsidRPr="00935C7F">
        <w:rPr>
          <w:rFonts w:ascii="Times New Roman" w:eastAsia="Aptos" w:hAnsi="Times New Roman" w:cs="Times New Roman"/>
          <w:kern w:val="2"/>
          <w:sz w:val="24"/>
          <w:lang w:val="id-ID" w:eastAsia="en-US"/>
          <w14:ligatures w14:val="standardContextual"/>
        </w:rPr>
        <w:t>)</w:t>
      </w:r>
      <w:r w:rsidR="00371AAF" w:rsidRPr="00935C7F">
        <w:rPr>
          <w:rFonts w:ascii="Times New Roman" w:eastAsia="Aptos" w:hAnsi="Times New Roman" w:cs="Arial"/>
          <w:kern w:val="2"/>
          <w:sz w:val="24"/>
          <w:lang w:val="id-ID" w:eastAsia="en-US"/>
          <w14:ligatures w14:val="standardContextual"/>
        </w:rPr>
        <w:fldChar w:fldCharType="end"/>
      </w:r>
      <w:r w:rsidRPr="00935C7F">
        <w:rPr>
          <w:rFonts w:ascii="Times New Roman" w:eastAsia="Times New Roman" w:hAnsi="Times New Roman" w:cs="Times New Roman"/>
          <w:sz w:val="24"/>
          <w:szCs w:val="24"/>
          <w:lang w:val="id-ID"/>
        </w:rPr>
        <w:t>.</w:t>
      </w:r>
      <w:r w:rsidR="0055795D" w:rsidRPr="00935C7F">
        <w:rPr>
          <w:rFonts w:ascii="Times New Roman" w:eastAsia="Times New Roman" w:hAnsi="Times New Roman" w:cs="Times New Roman"/>
          <w:sz w:val="24"/>
          <w:szCs w:val="24"/>
          <w:lang w:val="id-ID"/>
        </w:rPr>
        <w:t xml:space="preserve"> </w:t>
      </w:r>
      <w:r w:rsidR="0055795D" w:rsidRPr="00935C7F">
        <w:rPr>
          <w:rFonts w:ascii="Times New Roman" w:eastAsia="Times New Roman" w:hAnsi="Times New Roman" w:cs="Times New Roman"/>
          <w:sz w:val="24"/>
          <w:szCs w:val="24"/>
        </w:rPr>
        <w:t>Information asymmetry theory explains how deficient disclosures distort investor judgment, leading to suboptimal capital allocation</w:t>
      </w:r>
      <w:r w:rsidR="00652FF3" w:rsidRPr="00935C7F">
        <w:rPr>
          <w:rFonts w:ascii="Times New Roman" w:eastAsia="Times New Roman" w:hAnsi="Times New Roman" w:cs="Times New Roman"/>
          <w:sz w:val="24"/>
          <w:szCs w:val="24"/>
        </w:rPr>
        <w:t xml:space="preserve"> </w:t>
      </w:r>
      <w:r w:rsidRPr="00935C7F">
        <w:rPr>
          <w:rFonts w:ascii="Times New Roman" w:eastAsia="Times New Roman" w:hAnsi="Times New Roman" w:cs="Times New Roman"/>
          <w:sz w:val="24"/>
          <w:szCs w:val="24"/>
        </w:rPr>
        <w:t>(</w:t>
      </w:r>
      <w:hyperlink w:anchor="Sen" w:history="1">
        <w:r w:rsidRPr="00935C7F">
          <w:rPr>
            <w:rStyle w:val="Hyperlink"/>
            <w:rFonts w:ascii="Times New Roman" w:eastAsia="Times New Roman" w:hAnsi="Times New Roman" w:cs="Times New Roman"/>
            <w:sz w:val="24"/>
            <w:szCs w:val="24"/>
            <w:u w:val="none"/>
          </w:rPr>
          <w:t>Sen, 2020</w:t>
        </w:r>
      </w:hyperlink>
      <w:r w:rsidRPr="00935C7F">
        <w:rPr>
          <w:rFonts w:ascii="Times New Roman" w:eastAsia="Times New Roman" w:hAnsi="Times New Roman" w:cs="Times New Roman"/>
          <w:sz w:val="24"/>
          <w:szCs w:val="24"/>
        </w:rPr>
        <w:t>)</w:t>
      </w:r>
      <w:r w:rsidRPr="00935C7F">
        <w:rPr>
          <w:rFonts w:ascii="Times New Roman" w:eastAsia="Times New Roman" w:hAnsi="Times New Roman" w:cs="Times New Roman"/>
          <w:sz w:val="24"/>
          <w:szCs w:val="24"/>
          <w:lang w:val="id-ID"/>
        </w:rPr>
        <w:t xml:space="preserve">. This lack of transparency hampers effective evaluation and alters investors’ incentives to engage with certain markets, including foreign investments. Consequently, a strong disclosure regime, including </w:t>
      </w:r>
      <w:r w:rsidR="00BE4252" w:rsidRPr="00935C7F">
        <w:rPr>
          <w:rFonts w:ascii="Times New Roman" w:eastAsia="Times New Roman" w:hAnsi="Times New Roman" w:cs="Times New Roman"/>
          <w:sz w:val="24"/>
          <w:szCs w:val="24"/>
          <w:lang w:val="id-ID"/>
        </w:rPr>
        <w:t>KAM</w:t>
      </w:r>
      <w:r w:rsidRPr="00935C7F">
        <w:rPr>
          <w:rFonts w:ascii="Times New Roman" w:eastAsia="Times New Roman" w:hAnsi="Times New Roman" w:cs="Times New Roman"/>
          <w:sz w:val="24"/>
          <w:szCs w:val="24"/>
          <w:lang w:val="id-ID"/>
        </w:rPr>
        <w:t xml:space="preserve">, can enhance the quality and reliability of reported financial information. </w:t>
      </w:r>
      <w:r w:rsidR="00BE4252" w:rsidRPr="00935C7F">
        <w:rPr>
          <w:rFonts w:ascii="Times New Roman" w:eastAsia="Times New Roman" w:hAnsi="Times New Roman" w:cs="Times New Roman"/>
          <w:sz w:val="24"/>
          <w:szCs w:val="24"/>
        </w:rPr>
        <w:t>KAM</w:t>
      </w:r>
      <w:r w:rsidR="00A97786" w:rsidRPr="00935C7F">
        <w:rPr>
          <w:rFonts w:ascii="Times New Roman" w:eastAsia="Times New Roman" w:hAnsi="Times New Roman" w:cs="Times New Roman"/>
          <w:sz w:val="24"/>
          <w:szCs w:val="24"/>
        </w:rPr>
        <w:t xml:space="preserve"> act</w:t>
      </w:r>
      <w:r w:rsidR="00706D1A">
        <w:rPr>
          <w:rFonts w:ascii="Times New Roman" w:eastAsia="Times New Roman" w:hAnsi="Times New Roman" w:cs="Times New Roman"/>
          <w:sz w:val="24"/>
          <w:szCs w:val="24"/>
        </w:rPr>
        <w:t>s</w:t>
      </w:r>
      <w:r w:rsidR="00A97786" w:rsidRPr="00935C7F">
        <w:rPr>
          <w:rFonts w:ascii="Times New Roman" w:eastAsia="Times New Roman" w:hAnsi="Times New Roman" w:cs="Times New Roman"/>
          <w:sz w:val="24"/>
          <w:szCs w:val="24"/>
        </w:rPr>
        <w:t xml:space="preserve"> as signals that counteract this asymmetry, aligning with signaling theory by providing verifiable, auditor-endorsed insights into material risks.</w:t>
      </w:r>
      <w:r w:rsidR="00A97786" w:rsidRPr="00935C7F">
        <w:rPr>
          <w:rFonts w:ascii="Times New Roman" w:eastAsia="Times New Roman" w:hAnsi="Times New Roman" w:cs="Times New Roman"/>
          <w:sz w:val="24"/>
          <w:szCs w:val="24"/>
          <w:lang w:val="id-ID"/>
        </w:rPr>
        <w:t xml:space="preserve"> </w:t>
      </w:r>
      <w:r w:rsidRPr="00935C7F">
        <w:rPr>
          <w:rFonts w:ascii="Times New Roman" w:eastAsia="Times New Roman" w:hAnsi="Times New Roman" w:cs="Times New Roman"/>
          <w:sz w:val="24"/>
          <w:szCs w:val="24"/>
          <w:lang w:val="id-ID"/>
        </w:rPr>
        <w:t xml:space="preserve">Moreover, research indicates that the quality of disclosures can significantly impact investment efficiency. Zhang's study reveals that high-quality disclosure inhibits inefficient investment behaviors by providing a clearer picture of a company’s actual performance and risks </w:t>
      </w:r>
      <w:hyperlink w:anchor="Zhang" w:history="1">
        <w:r w:rsidRPr="00D5111D">
          <w:rPr>
            <w:rStyle w:val="Hyperlink"/>
            <w:rFonts w:ascii="Times New Roman" w:eastAsia="Times New Roman" w:hAnsi="Times New Roman" w:cs="Times New Roman"/>
            <w:sz w:val="24"/>
            <w:szCs w:val="24"/>
            <w:u w:val="none"/>
            <w:lang w:val="id-ID"/>
          </w:rPr>
          <w:fldChar w:fldCharType="begin"/>
        </w:r>
        <w:r w:rsidR="00333370" w:rsidRPr="00D5111D">
          <w:rPr>
            <w:rStyle w:val="Hyperlink"/>
            <w:rFonts w:ascii="Times New Roman" w:eastAsia="Times New Roman" w:hAnsi="Times New Roman" w:cs="Times New Roman"/>
            <w:sz w:val="24"/>
            <w:szCs w:val="24"/>
            <w:u w:val="none"/>
            <w:lang w:val="id-ID"/>
          </w:rPr>
          <w:instrText xml:space="preserve"> ADDIN ZOTERO_ITEM CSL_CITATION {"citationID":"a2cgajp7go5","properties":{"formattedCitation":"(Zhang, 2020)","plainCitation":"(Zhang, 2020)","noteIndex":0},"citationItems":[{"id":700,"uris":["http://zotero.org/users/10852507/items/8EXZVDH5"],"itemData":{"id":700,"type":"article-journal","container-title":"E3s Web of Conferences","DOI":"10.1051/e3sconf/202019803032","journalAbbreviation":"E3s Web of Conferences","page":"03032","title":"A Study of the Impact of Information Disclosure Quality on the Efficiency of Corporate Investment—Based on Civil Engineering Listed Companies","volume":"198","author":[{"family":"Zhang","given":"Liying"}],"issued":{"date-parts":[["2020"]]}}}],"schema":"https://github.com/citation-style-language/schema/raw/master/csl-citation.json"} </w:instrText>
        </w:r>
        <w:r w:rsidRPr="00D5111D">
          <w:rPr>
            <w:rStyle w:val="Hyperlink"/>
            <w:rFonts w:ascii="Times New Roman" w:eastAsia="Times New Roman" w:hAnsi="Times New Roman" w:cs="Times New Roman"/>
            <w:sz w:val="24"/>
            <w:szCs w:val="24"/>
            <w:u w:val="none"/>
            <w:lang w:val="id-ID"/>
          </w:rPr>
          <w:fldChar w:fldCharType="separate"/>
        </w:r>
        <w:r w:rsidR="00333370" w:rsidRPr="00D5111D">
          <w:rPr>
            <w:rStyle w:val="Hyperlink"/>
            <w:rFonts w:ascii="Times New Roman" w:hAnsi="Times New Roman" w:cs="Times New Roman"/>
            <w:sz w:val="24"/>
            <w:szCs w:val="24"/>
            <w:u w:val="none"/>
          </w:rPr>
          <w:t>(Zhang, 2020)</w:t>
        </w:r>
        <w:r w:rsidRPr="00D5111D">
          <w:rPr>
            <w:rStyle w:val="Hyperlink"/>
            <w:rFonts w:ascii="Times New Roman" w:eastAsia="Times New Roman" w:hAnsi="Times New Roman" w:cs="Times New Roman"/>
            <w:sz w:val="24"/>
            <w:szCs w:val="24"/>
            <w:u w:val="none"/>
          </w:rPr>
          <w:fldChar w:fldCharType="end"/>
        </w:r>
      </w:hyperlink>
      <w:r w:rsidRPr="00935C7F">
        <w:rPr>
          <w:rFonts w:ascii="Times New Roman" w:eastAsia="Times New Roman" w:hAnsi="Times New Roman" w:cs="Times New Roman"/>
          <w:sz w:val="24"/>
          <w:szCs w:val="24"/>
          <w:lang w:val="id-ID"/>
        </w:rPr>
        <w:t>. Such insights into performance dynamics are crucial for stakeholders, particularly in developing market contexts like Indonesia.</w:t>
      </w:r>
    </w:p>
    <w:p w14:paraId="74AB0039" w14:textId="77777777" w:rsidR="00606A0C" w:rsidRDefault="007A3B40" w:rsidP="00686421">
      <w:pPr>
        <w:spacing w:after="0"/>
        <w:ind w:firstLine="426"/>
        <w:jc w:val="both"/>
        <w:rPr>
          <w:rFonts w:ascii="Times New Roman" w:eastAsia="Times New Roman" w:hAnsi="Times New Roman" w:cs="Times New Roman"/>
          <w:sz w:val="24"/>
          <w:szCs w:val="24"/>
          <w:lang w:val="id-ID"/>
        </w:rPr>
      </w:pPr>
      <w:r w:rsidRPr="00935C7F">
        <w:rPr>
          <w:rFonts w:ascii="Times New Roman" w:eastAsia="Times New Roman" w:hAnsi="Times New Roman" w:cs="Times New Roman"/>
          <w:sz w:val="24"/>
          <w:szCs w:val="24"/>
          <w:lang w:val="id-ID"/>
        </w:rPr>
        <w:t xml:space="preserve">Corporate governance structures play an instrumental role in risk disclosure practices. Research by Maani et al. establishes that the characteristics of audit committees, particularly their independence and experience, strongly influence voluntary corporate risk disclosures </w:t>
      </w:r>
      <w:r w:rsidRPr="00935C7F">
        <w:rPr>
          <w:rFonts w:ascii="Times New Roman" w:eastAsia="Times New Roman" w:hAnsi="Times New Roman" w:cs="Times New Roman"/>
          <w:sz w:val="24"/>
          <w:szCs w:val="24"/>
          <w:lang w:val="id-ID"/>
        </w:rPr>
        <w:fldChar w:fldCharType="begin"/>
      </w:r>
      <w:r w:rsidRPr="00935C7F">
        <w:rPr>
          <w:rFonts w:ascii="Times New Roman" w:eastAsia="Times New Roman" w:hAnsi="Times New Roman" w:cs="Times New Roman"/>
          <w:sz w:val="24"/>
          <w:szCs w:val="24"/>
          <w:lang w:val="id-ID"/>
        </w:rPr>
        <w:instrText xml:space="preserve"> ADDIN ZOTERO_ITEM CSL_CITATION {"citationID":"a23oatpolen","properties":{"formattedCitation":"(Maani et al., 2024)","plainCitation":"(Maani et al., 2024)","noteIndex":0},"citationItems":[{"id":701,"uris":["http://zotero.org/users/10852507/items/ZZNBNR8X"],"itemData":{"id":701,"type":"article-journal","DOI":"10.20944/preprints202408.0667.v1","title":"The Effect of the Audit Committee on the Voluntary Risk Disclosure in Jordanian Commercial Banks: The Moderating Role of Family Ownership .","author":[{"family":"Maani","given":"Abdullah A."},{"family":"Buraik","given":"Ola"},{"family":"Al-Amarneh","given":"Asma’a"},{"family":"Almashaqbeh","given":"Mohmmed"}],"issued":{"date-parts":[["2024"]]}}}],"schema":"https://github.com/citation-style-language/schema/raw/master/csl-citation.json"} </w:instrText>
      </w:r>
      <w:r w:rsidRPr="00935C7F">
        <w:rPr>
          <w:rFonts w:ascii="Times New Roman" w:eastAsia="Times New Roman" w:hAnsi="Times New Roman" w:cs="Times New Roman"/>
          <w:sz w:val="24"/>
          <w:szCs w:val="24"/>
          <w:lang w:val="id-ID"/>
        </w:rPr>
        <w:fldChar w:fldCharType="separate"/>
      </w:r>
      <w:hyperlink w:anchor="Maani" w:history="1">
        <w:r w:rsidRPr="00935C7F">
          <w:rPr>
            <w:rStyle w:val="Hyperlink"/>
            <w:rFonts w:ascii="Times New Roman" w:eastAsia="Times New Roman" w:hAnsi="Times New Roman" w:cs="Times New Roman"/>
            <w:color w:val="000000" w:themeColor="text1"/>
            <w:sz w:val="24"/>
            <w:szCs w:val="24"/>
            <w:u w:val="none"/>
          </w:rPr>
          <w:t>(</w:t>
        </w:r>
        <w:r w:rsidRPr="00935C7F">
          <w:rPr>
            <w:rStyle w:val="Hyperlink"/>
            <w:rFonts w:ascii="Times New Roman" w:eastAsia="Times New Roman" w:hAnsi="Times New Roman" w:cs="Times New Roman"/>
            <w:sz w:val="24"/>
            <w:szCs w:val="24"/>
            <w:u w:val="none"/>
          </w:rPr>
          <w:t>Maani et al., 2024</w:t>
        </w:r>
      </w:hyperlink>
      <w:r w:rsidRPr="00935C7F">
        <w:rPr>
          <w:rFonts w:ascii="Times New Roman" w:eastAsia="Times New Roman" w:hAnsi="Times New Roman" w:cs="Times New Roman"/>
          <w:sz w:val="24"/>
          <w:szCs w:val="24"/>
        </w:rPr>
        <w:t>)</w:t>
      </w:r>
      <w:r w:rsidRPr="00935C7F">
        <w:rPr>
          <w:rFonts w:ascii="Times New Roman" w:eastAsia="Times New Roman" w:hAnsi="Times New Roman" w:cs="Times New Roman"/>
          <w:sz w:val="24"/>
          <w:szCs w:val="24"/>
        </w:rPr>
        <w:fldChar w:fldCharType="end"/>
      </w:r>
      <w:r w:rsidRPr="00935C7F">
        <w:rPr>
          <w:rFonts w:ascii="Times New Roman" w:eastAsia="Times New Roman" w:hAnsi="Times New Roman" w:cs="Times New Roman"/>
          <w:sz w:val="24"/>
          <w:szCs w:val="24"/>
          <w:lang w:val="id-ID"/>
        </w:rPr>
        <w:t xml:space="preserve">. This supports the assertion that robust corporate </w:t>
      </w:r>
      <w:r w:rsidRPr="00935C7F">
        <w:rPr>
          <w:rFonts w:ascii="Times New Roman" w:eastAsia="Times New Roman" w:hAnsi="Times New Roman" w:cs="Times New Roman"/>
          <w:sz w:val="24"/>
          <w:szCs w:val="24"/>
          <w:lang w:val="id-ID"/>
        </w:rPr>
        <w:lastRenderedPageBreak/>
        <w:t xml:space="preserve">governance contributes to more detailed and effective KAM disclosures, thereby reducing information asymmetry between investors and firms. In the Indonesian context, where governance mechanisms have historically been under scrutiny, the establishment and enforcement of stringent auditing practices, including KAM disclosures, become particularly relevant. </w:t>
      </w:r>
      <w:hyperlink w:anchor="Mukhibad" w:history="1">
        <w:r w:rsidR="00A97786" w:rsidRPr="00935C7F">
          <w:rPr>
            <w:rStyle w:val="Hyperlink"/>
            <w:rFonts w:ascii="Times New Roman" w:eastAsia="Times New Roman" w:hAnsi="Times New Roman" w:cs="Times New Roman"/>
            <w:sz w:val="24"/>
            <w:szCs w:val="24"/>
            <w:u w:val="none"/>
            <w:lang w:val="id-ID"/>
          </w:rPr>
          <w:fldChar w:fldCharType="begin"/>
        </w:r>
        <w:r w:rsidR="003C6F34" w:rsidRPr="00935C7F">
          <w:rPr>
            <w:rStyle w:val="Hyperlink"/>
            <w:rFonts w:ascii="Times New Roman" w:eastAsia="Times New Roman" w:hAnsi="Times New Roman" w:cs="Times New Roman"/>
            <w:sz w:val="24"/>
            <w:szCs w:val="24"/>
            <w:u w:val="none"/>
            <w:lang w:val="id-ID"/>
          </w:rPr>
          <w:instrText xml:space="preserve"> ADDIN ZOTERO_ITEM CSL_CITATION {"citationID":"a27io5ribs2","properties":{"formattedCitation":"(Mukhibad et al., 2020)","plainCitation":"(Mukhibad et al., 2020)","dontUpdate":true,"noteIndex":0},"citationItems":[{"id":702,"uris":["http://zotero.org/users/10852507/items/QFJR6XRV"],"itemData":{"id":702,"type":"article-journal","container-title":"Banks and Bank Systems","DOI":"10.21511/bbs.15(1).2020.01","issue":"1","journalAbbreviation":"Banks and Bank Systems","page":"1-10","title":"Corporate Governance Mechanism and Risk Disclosure by Islamic Banks in Indonesia","volume":"15","author":[{"family":"Mukhibad","given":"Hasan"},{"family":"Nurkhin","given":"Ahmad"},{"family":"Rohman","given":"Abdul"}],"issued":{"date-parts":[["2020"]]}}}],"schema":"https://github.com/citation-style-language/schema/raw/master/csl-citation.json"} </w:instrText>
        </w:r>
        <w:r w:rsidR="00A97786" w:rsidRPr="00935C7F">
          <w:rPr>
            <w:rStyle w:val="Hyperlink"/>
            <w:rFonts w:ascii="Times New Roman" w:eastAsia="Times New Roman" w:hAnsi="Times New Roman" w:cs="Times New Roman"/>
            <w:sz w:val="24"/>
            <w:szCs w:val="24"/>
            <w:u w:val="none"/>
            <w:lang w:val="id-ID"/>
          </w:rPr>
          <w:fldChar w:fldCharType="separate"/>
        </w:r>
        <w:r w:rsidR="00A97786" w:rsidRPr="00935C7F">
          <w:rPr>
            <w:rStyle w:val="Hyperlink"/>
            <w:rFonts w:ascii="Times New Roman" w:eastAsia="Times New Roman" w:hAnsi="Times New Roman" w:cs="Times New Roman"/>
            <w:sz w:val="24"/>
            <w:szCs w:val="24"/>
            <w:u w:val="none"/>
          </w:rPr>
          <w:t>Mukhibad et al. (2020)</w:t>
        </w:r>
        <w:r w:rsidR="00A97786" w:rsidRPr="00935C7F">
          <w:rPr>
            <w:rStyle w:val="Hyperlink"/>
            <w:rFonts w:ascii="Times New Roman" w:eastAsia="Times New Roman" w:hAnsi="Times New Roman" w:cs="Times New Roman"/>
            <w:sz w:val="24"/>
            <w:szCs w:val="24"/>
            <w:u w:val="none"/>
          </w:rPr>
          <w:fldChar w:fldCharType="end"/>
        </w:r>
      </w:hyperlink>
      <w:r w:rsidR="00A97786" w:rsidRPr="00935C7F">
        <w:rPr>
          <w:rFonts w:ascii="Times New Roman" w:eastAsia="Times New Roman" w:hAnsi="Times New Roman" w:cs="Times New Roman"/>
          <w:sz w:val="24"/>
          <w:szCs w:val="24"/>
          <w:lang w:val="id-ID"/>
        </w:rPr>
        <w:t xml:space="preserve"> </w:t>
      </w:r>
      <w:r w:rsidRPr="00935C7F">
        <w:rPr>
          <w:rFonts w:ascii="Times New Roman" w:eastAsia="Times New Roman" w:hAnsi="Times New Roman" w:cs="Times New Roman"/>
          <w:sz w:val="24"/>
          <w:szCs w:val="24"/>
          <w:lang w:val="id-ID"/>
        </w:rPr>
        <w:t>also shed light on how governance mechanisms affect risk disclosures in Islamic banks in Indonesia, suggesting that corporate governance is pivotal in determining the extent of risk information disseminated to investors. As such, KAM disclosure can reflect a firm’s governance quality and its commitment to transparency, potentially enhancing investor trust and mitigating perceived investment risks.</w:t>
      </w:r>
    </w:p>
    <w:p w14:paraId="79255709" w14:textId="5F348091" w:rsidR="007A3B40" w:rsidRPr="00606A0C" w:rsidRDefault="007A3B40" w:rsidP="00686421">
      <w:pPr>
        <w:spacing w:after="0"/>
        <w:ind w:firstLine="426"/>
        <w:jc w:val="both"/>
        <w:rPr>
          <w:rFonts w:ascii="Times New Roman" w:eastAsia="Times New Roman" w:hAnsi="Times New Roman" w:cs="Times New Roman"/>
          <w:sz w:val="24"/>
          <w:szCs w:val="24"/>
        </w:rPr>
      </w:pPr>
      <w:r w:rsidRPr="00935C7F">
        <w:rPr>
          <w:rFonts w:ascii="Times New Roman" w:eastAsia="Times New Roman" w:hAnsi="Times New Roman" w:cs="Times New Roman"/>
          <w:sz w:val="24"/>
          <w:szCs w:val="24"/>
          <w:lang w:val="id-ID"/>
        </w:rPr>
        <w:t xml:space="preserve">Recent studies have begun to evaluate the specific implications of KAM disclosures within the Indonesian auditing framework. </w:t>
      </w:r>
      <w:hyperlink w:anchor="Sania" w:history="1">
        <w:r w:rsidR="00A626AF" w:rsidRPr="00935C7F">
          <w:rPr>
            <w:rStyle w:val="Hyperlink"/>
            <w:rFonts w:ascii="Times New Roman" w:eastAsia="Times New Roman" w:hAnsi="Times New Roman" w:cs="Times New Roman"/>
            <w:sz w:val="24"/>
            <w:szCs w:val="24"/>
            <w:u w:val="none"/>
            <w:lang w:val="id-ID"/>
          </w:rPr>
          <w:fldChar w:fldCharType="begin"/>
        </w:r>
        <w:r w:rsidR="00A626AF" w:rsidRPr="00935C7F">
          <w:rPr>
            <w:rStyle w:val="Hyperlink"/>
            <w:rFonts w:ascii="Times New Roman" w:eastAsia="Times New Roman" w:hAnsi="Times New Roman" w:cs="Times New Roman"/>
            <w:sz w:val="24"/>
            <w:szCs w:val="24"/>
            <w:u w:val="none"/>
            <w:lang w:val="id-ID"/>
          </w:rPr>
          <w:instrText xml:space="preserve"> ADDIN ZOTERO_ITEM CSL_CITATION {"citationID":"a2qfnrk3dn6","properties":{"formattedCitation":"(Sania &amp; Ali, 2024)","plainCitation":"(Sania &amp; Ali, 2024)","noteIndex":0},"citationItems":[{"id":703,"uris":["http://zotero.org/users/10852507/items/RCGQW74R"],"itemData":{"id":703,"type":"article-journal","container-title":"Eduvest - Journal of Universal Studies","DOI":"10.59188/eduvest.v4i10.38822","issue":"10","journalAbbreviation":"Eduvest - Journal of Universal Studies","page":"9547-9564","title":"The Impact of Audit Fee, Size of Public Accounting Firm, Company Size, and Leverage on the Communication of Key Audit Matters (Implementation of the First Year of KAMs Adoption in Independent Auditors' Reports in Indonesia)","volume":"4","author":[{"family":"Sania","given":"Widya"},{"family":"Ali","given":"Syahril"}],"issued":{"date-parts":[["2024"]]}}}],"schema":"https://github.com/citation-style-language/schema/raw/master/csl-citation.json"} </w:instrText>
        </w:r>
        <w:r w:rsidR="00A626AF" w:rsidRPr="00935C7F">
          <w:rPr>
            <w:rStyle w:val="Hyperlink"/>
            <w:rFonts w:ascii="Times New Roman" w:eastAsia="Times New Roman" w:hAnsi="Times New Roman" w:cs="Times New Roman"/>
            <w:sz w:val="24"/>
            <w:szCs w:val="24"/>
            <w:u w:val="none"/>
            <w:lang w:val="id-ID"/>
          </w:rPr>
          <w:fldChar w:fldCharType="separate"/>
        </w:r>
        <w:r w:rsidR="00A626AF" w:rsidRPr="00935C7F">
          <w:rPr>
            <w:rStyle w:val="Hyperlink"/>
            <w:rFonts w:ascii="Times New Roman" w:eastAsia="Times New Roman" w:hAnsi="Times New Roman" w:cs="Times New Roman"/>
            <w:sz w:val="24"/>
            <w:szCs w:val="24"/>
            <w:u w:val="none"/>
          </w:rPr>
          <w:t>Sania &amp; Ali (2024)</w:t>
        </w:r>
        <w:r w:rsidR="00A626AF" w:rsidRPr="00935C7F">
          <w:rPr>
            <w:rStyle w:val="Hyperlink"/>
            <w:rFonts w:ascii="Times New Roman" w:eastAsia="Times New Roman" w:hAnsi="Times New Roman" w:cs="Times New Roman"/>
            <w:sz w:val="24"/>
            <w:szCs w:val="24"/>
            <w:u w:val="none"/>
          </w:rPr>
          <w:fldChar w:fldCharType="end"/>
        </w:r>
      </w:hyperlink>
      <w:r w:rsidRPr="00935C7F">
        <w:rPr>
          <w:rFonts w:ascii="Times New Roman" w:eastAsia="Times New Roman" w:hAnsi="Times New Roman" w:cs="Times New Roman"/>
          <w:sz w:val="24"/>
          <w:szCs w:val="24"/>
          <w:lang w:val="id-ID"/>
        </w:rPr>
        <w:t xml:space="preserve"> highlight </w:t>
      </w:r>
      <w:r w:rsidR="008777FD">
        <w:rPr>
          <w:rFonts w:ascii="Times New Roman" w:eastAsia="Times New Roman" w:hAnsi="Times New Roman" w:cs="Times New Roman"/>
          <w:sz w:val="24"/>
          <w:szCs w:val="24"/>
          <w:lang w:val="id-ID"/>
        </w:rPr>
        <w:t xml:space="preserve">several </w:t>
      </w:r>
      <w:r w:rsidRPr="00935C7F">
        <w:rPr>
          <w:rFonts w:ascii="Times New Roman" w:eastAsia="Times New Roman" w:hAnsi="Times New Roman" w:cs="Times New Roman"/>
          <w:sz w:val="24"/>
          <w:szCs w:val="24"/>
          <w:lang w:val="id-ID"/>
        </w:rPr>
        <w:t xml:space="preserve">factors influencing KAM disclosures, such as the size of the auditing firm and the characteristics of the audited companies. Their findings indicate that as firms increase audit fees, there typically corresponds </w:t>
      </w:r>
      <w:r w:rsidR="00706D1A">
        <w:rPr>
          <w:rFonts w:ascii="Times New Roman" w:eastAsia="Times New Roman" w:hAnsi="Times New Roman" w:cs="Times New Roman"/>
          <w:sz w:val="24"/>
          <w:szCs w:val="24"/>
          <w:lang w:val="id-ID"/>
        </w:rPr>
        <w:t xml:space="preserve">to </w:t>
      </w:r>
      <w:r w:rsidRPr="00935C7F">
        <w:rPr>
          <w:rFonts w:ascii="Times New Roman" w:eastAsia="Times New Roman" w:hAnsi="Times New Roman" w:cs="Times New Roman"/>
          <w:sz w:val="24"/>
          <w:szCs w:val="24"/>
          <w:lang w:val="id-ID"/>
        </w:rPr>
        <w:t xml:space="preserve">an increase in KAM disclosures, suggesting that higher investment in audit quality leads to better disclosure practices. Additionally, </w:t>
      </w:r>
      <w:hyperlink w:anchor="Yulianto" w:history="1">
        <w:r w:rsidR="00A626AF" w:rsidRPr="00935C7F">
          <w:rPr>
            <w:rStyle w:val="Hyperlink"/>
            <w:rFonts w:ascii="Times New Roman" w:eastAsia="Times New Roman" w:hAnsi="Times New Roman" w:cs="Times New Roman"/>
            <w:sz w:val="24"/>
            <w:szCs w:val="24"/>
            <w:u w:val="none"/>
            <w:lang w:val="id-ID"/>
          </w:rPr>
          <w:fldChar w:fldCharType="begin"/>
        </w:r>
        <w:r w:rsidR="00A626AF" w:rsidRPr="00935C7F">
          <w:rPr>
            <w:rStyle w:val="Hyperlink"/>
            <w:rFonts w:ascii="Times New Roman" w:eastAsia="Times New Roman" w:hAnsi="Times New Roman" w:cs="Times New Roman"/>
            <w:sz w:val="24"/>
            <w:szCs w:val="24"/>
            <w:u w:val="none"/>
            <w:lang w:val="id-ID"/>
          </w:rPr>
          <w:instrText xml:space="preserve"> ADDIN ZOTERO_ITEM CSL_CITATION {"citationID":"a22kf2r61co","properties":{"formattedCitation":"(Yulianto, 2025)","plainCitation":"(Yulianto, 2025)","noteIndex":0},"citationItems":[{"id":704,"uris":["http://zotero.org/users/10852507/items/SGFCMVL7"],"itemData":{"id":704,"type":"article-journal","container-title":"Journal of Emerging Economies and Islamic Research","DOI":"10.24191/jeeir.v13i1.4432","journalAbbreviation":"Journal of Emerging Economies and Islamic Research","title":"Key Audit Matter and Audit Report Lag: A Preliminary Evidence From Indonesia","author":[{"family":"Yulianto","given":"Ahmad R."}],"issued":{"date-parts":[["2025"]]}}}],"schema":"https://github.com/citation-style-language/schema/raw/master/csl-citation.json"} </w:instrText>
        </w:r>
        <w:r w:rsidR="00A626AF" w:rsidRPr="00935C7F">
          <w:rPr>
            <w:rStyle w:val="Hyperlink"/>
            <w:rFonts w:ascii="Times New Roman" w:eastAsia="Times New Roman" w:hAnsi="Times New Roman" w:cs="Times New Roman"/>
            <w:sz w:val="24"/>
            <w:szCs w:val="24"/>
            <w:u w:val="none"/>
            <w:lang w:val="id-ID"/>
          </w:rPr>
          <w:fldChar w:fldCharType="separate"/>
        </w:r>
        <w:r w:rsidR="00A626AF" w:rsidRPr="00935C7F">
          <w:rPr>
            <w:rStyle w:val="Hyperlink"/>
            <w:rFonts w:ascii="Times New Roman" w:eastAsia="Times New Roman" w:hAnsi="Times New Roman" w:cs="Times New Roman"/>
            <w:sz w:val="24"/>
            <w:szCs w:val="24"/>
            <w:u w:val="none"/>
          </w:rPr>
          <w:t>Yulianto (2025)</w:t>
        </w:r>
        <w:r w:rsidR="00A626AF" w:rsidRPr="00935C7F">
          <w:rPr>
            <w:rStyle w:val="Hyperlink"/>
            <w:rFonts w:ascii="Times New Roman" w:eastAsia="Times New Roman" w:hAnsi="Times New Roman" w:cs="Times New Roman"/>
            <w:sz w:val="24"/>
            <w:szCs w:val="24"/>
            <w:u w:val="none"/>
          </w:rPr>
          <w:fldChar w:fldCharType="end"/>
        </w:r>
      </w:hyperlink>
      <w:r w:rsidRPr="00935C7F">
        <w:rPr>
          <w:rFonts w:ascii="Times New Roman" w:eastAsia="Times New Roman" w:hAnsi="Times New Roman" w:cs="Times New Roman"/>
          <w:sz w:val="24"/>
          <w:szCs w:val="24"/>
          <w:lang w:val="id-ID"/>
        </w:rPr>
        <w:t xml:space="preserve"> provides preliminary evidence linking KAM disclosures and audit report lag, suggesting that timely and comprehensive disclosures may impact regulatory compliance and investor perceptions in Indonesia. The role of </w:t>
      </w:r>
      <w:r w:rsidR="00BE4252" w:rsidRPr="00935C7F">
        <w:rPr>
          <w:rFonts w:ascii="Times New Roman" w:eastAsia="Times New Roman" w:hAnsi="Times New Roman" w:cs="Times New Roman"/>
          <w:sz w:val="24"/>
          <w:szCs w:val="24"/>
          <w:lang w:val="id-ID"/>
        </w:rPr>
        <w:t>KAM</w:t>
      </w:r>
      <w:r w:rsidRPr="00935C7F">
        <w:rPr>
          <w:rFonts w:ascii="Times New Roman" w:eastAsia="Times New Roman" w:hAnsi="Times New Roman" w:cs="Times New Roman"/>
          <w:sz w:val="24"/>
          <w:szCs w:val="24"/>
          <w:lang w:val="id-ID"/>
        </w:rPr>
        <w:t xml:space="preserve"> in influencing investor behavior has also received attention, as evidenced by the work of Yue, which investigates the effect of KAM disclosures on stock price volatility </w:t>
      </w:r>
      <w:r w:rsidRPr="00935C7F">
        <w:rPr>
          <w:rFonts w:ascii="Times New Roman" w:eastAsia="Times New Roman" w:hAnsi="Times New Roman" w:cs="Times New Roman"/>
          <w:sz w:val="24"/>
          <w:szCs w:val="24"/>
          <w:lang w:val="id-ID"/>
        </w:rPr>
        <w:fldChar w:fldCharType="begin"/>
      </w:r>
      <w:r w:rsidR="003C6F34" w:rsidRPr="00935C7F">
        <w:rPr>
          <w:rFonts w:ascii="Times New Roman" w:eastAsia="Times New Roman" w:hAnsi="Times New Roman" w:cs="Times New Roman"/>
          <w:sz w:val="24"/>
          <w:szCs w:val="24"/>
          <w:lang w:val="id-ID"/>
        </w:rPr>
        <w:instrText xml:space="preserve"> ADDIN ZOTERO_ITEM CSL_CITATION {"citationID":"a19l8fqg8hb","properties":{"formattedCitation":"(Yue, 2022)","plainCitation":"(Yue, 2022)","dontUpdate":true,"noteIndex":0},"citationItems":[{"id":648,"uris":["http://zotero.org/users/10852507/items/YCW2EVG2"],"itemData":{"id":648,"type":"article-journal","container-title":"BCP Business &amp; Management","DOI":"10.54691/bcpbm.v20i.1026","journalAbbreviation":"BCP Business &amp; Management","page":"519-524","title":"Empirical Study on the Impact of Key Audit Disclosure on Stock Price in Audit Reports","volume":"20","author":[{"family":"Yue","given":"Yingying"}],"issued":{"date-parts":[["2022"]]}}}],"schema":"https://github.com/citation-style-language/schema/raw/master/csl-citation.json"} </w:instrText>
      </w:r>
      <w:r w:rsidRPr="00935C7F">
        <w:rPr>
          <w:rFonts w:ascii="Times New Roman" w:eastAsia="Times New Roman" w:hAnsi="Times New Roman" w:cs="Times New Roman"/>
          <w:sz w:val="24"/>
          <w:szCs w:val="24"/>
          <w:lang w:val="id-ID"/>
        </w:rPr>
        <w:fldChar w:fldCharType="separate"/>
      </w:r>
      <w:r w:rsidRPr="00935C7F">
        <w:rPr>
          <w:rFonts w:ascii="Times New Roman" w:eastAsia="Times New Roman" w:hAnsi="Times New Roman" w:cs="Times New Roman"/>
          <w:sz w:val="24"/>
          <w:szCs w:val="24"/>
        </w:rPr>
        <w:t>(</w:t>
      </w:r>
      <w:hyperlink w:anchor="Abdullatif" w:history="1">
        <w:r w:rsidR="00396873" w:rsidRPr="00935C7F">
          <w:rPr>
            <w:rStyle w:val="Hyperlink"/>
            <w:rFonts w:ascii="Times New Roman" w:eastAsia="Times New Roman" w:hAnsi="Times New Roman" w:cs="Times New Roman"/>
            <w:sz w:val="24"/>
            <w:szCs w:val="24"/>
            <w:u w:val="none"/>
          </w:rPr>
          <w:t>Abdullatif et al</w:t>
        </w:r>
        <w:r w:rsidRPr="00935C7F">
          <w:rPr>
            <w:rStyle w:val="Hyperlink"/>
            <w:rFonts w:ascii="Times New Roman" w:eastAsia="Times New Roman" w:hAnsi="Times New Roman" w:cs="Times New Roman"/>
            <w:sz w:val="24"/>
            <w:szCs w:val="24"/>
            <w:u w:val="none"/>
          </w:rPr>
          <w:t>, 202</w:t>
        </w:r>
        <w:r w:rsidR="00396873" w:rsidRPr="00935C7F">
          <w:rPr>
            <w:rStyle w:val="Hyperlink"/>
            <w:rFonts w:ascii="Times New Roman" w:eastAsia="Times New Roman" w:hAnsi="Times New Roman" w:cs="Times New Roman"/>
            <w:sz w:val="24"/>
            <w:szCs w:val="24"/>
            <w:u w:val="none"/>
          </w:rPr>
          <w:t>3</w:t>
        </w:r>
      </w:hyperlink>
      <w:r w:rsidRPr="00935C7F">
        <w:rPr>
          <w:rFonts w:ascii="Times New Roman" w:eastAsia="Times New Roman" w:hAnsi="Times New Roman" w:cs="Times New Roman"/>
          <w:sz w:val="24"/>
          <w:szCs w:val="24"/>
        </w:rPr>
        <w:t>)</w:t>
      </w:r>
      <w:r w:rsidRPr="00935C7F">
        <w:rPr>
          <w:rFonts w:ascii="Times New Roman" w:eastAsia="Times New Roman" w:hAnsi="Times New Roman" w:cs="Times New Roman"/>
          <w:sz w:val="24"/>
          <w:szCs w:val="24"/>
        </w:rPr>
        <w:fldChar w:fldCharType="end"/>
      </w:r>
      <w:r w:rsidRPr="00935C7F">
        <w:rPr>
          <w:rFonts w:ascii="Times New Roman" w:eastAsia="Times New Roman" w:hAnsi="Times New Roman" w:cs="Times New Roman"/>
          <w:sz w:val="24"/>
          <w:szCs w:val="24"/>
          <w:lang w:val="id-ID"/>
        </w:rPr>
        <w:t>. This implies that KAM disclosures could have a direct impact on firm valuation and investor decision-making processes, reinforcing the argument that effective risk communication can mitigate uncertainties associated with investments.</w:t>
      </w:r>
    </w:p>
    <w:p w14:paraId="798A542C" w14:textId="092C8501" w:rsidR="00B13705" w:rsidRPr="00935C7F" w:rsidRDefault="007A3B40" w:rsidP="00686421">
      <w:pPr>
        <w:spacing w:after="0"/>
        <w:ind w:firstLine="426"/>
        <w:jc w:val="both"/>
        <w:rPr>
          <w:rFonts w:ascii="Times New Roman" w:eastAsia="Times New Roman" w:hAnsi="Times New Roman" w:cs="Times New Roman"/>
          <w:sz w:val="24"/>
          <w:szCs w:val="24"/>
          <w:lang w:val="id-ID"/>
        </w:rPr>
      </w:pPr>
      <w:r w:rsidRPr="00935C7F">
        <w:rPr>
          <w:rFonts w:ascii="Times New Roman" w:eastAsia="Times New Roman" w:hAnsi="Times New Roman" w:cs="Times New Roman"/>
          <w:sz w:val="24"/>
          <w:szCs w:val="24"/>
          <w:lang w:val="id-ID"/>
        </w:rPr>
        <w:t xml:space="preserve">In the context of investment risk, KAM disclosures can mitigate perceived risks by providing a more accurate representation of a company's financial health, highlighting areas of concern that could affect future earnings or company performance. This reduces the "unknown" elements for investors and enables them to assess potential risks with greater certainty. </w:t>
      </w:r>
      <w:r w:rsidR="00BE4252" w:rsidRPr="00935C7F">
        <w:rPr>
          <w:rFonts w:ascii="Times New Roman" w:eastAsia="Times New Roman" w:hAnsi="Times New Roman" w:cs="Times New Roman"/>
          <w:sz w:val="24"/>
          <w:szCs w:val="24"/>
          <w:lang w:val="id-ID"/>
        </w:rPr>
        <w:t>KAM</w:t>
      </w:r>
      <w:r w:rsidRPr="00935C7F">
        <w:rPr>
          <w:rFonts w:ascii="Times New Roman" w:eastAsia="Times New Roman" w:hAnsi="Times New Roman" w:cs="Times New Roman"/>
          <w:sz w:val="24"/>
          <w:szCs w:val="24"/>
          <w:lang w:val="id-ID"/>
        </w:rPr>
        <w:t>, by clearly identifying material risks and areas of uncertainty in the audit process, help</w:t>
      </w:r>
      <w:r w:rsidR="00706D1A">
        <w:rPr>
          <w:rFonts w:ascii="Times New Roman" w:eastAsia="Times New Roman" w:hAnsi="Times New Roman" w:cs="Times New Roman"/>
          <w:sz w:val="24"/>
          <w:szCs w:val="24"/>
          <w:lang w:val="id-ID"/>
        </w:rPr>
        <w:t>s</w:t>
      </w:r>
      <w:r w:rsidRPr="00935C7F">
        <w:rPr>
          <w:rFonts w:ascii="Times New Roman" w:eastAsia="Times New Roman" w:hAnsi="Times New Roman" w:cs="Times New Roman"/>
          <w:sz w:val="24"/>
          <w:szCs w:val="24"/>
          <w:lang w:val="id-ID"/>
        </w:rPr>
        <w:t xml:space="preserve"> investors gauge the level of potential exposure to financial misstatements, which could affect investment returns.</w:t>
      </w:r>
    </w:p>
    <w:p w14:paraId="73013894" w14:textId="2853751A" w:rsidR="00F61006" w:rsidRPr="00935C7F" w:rsidRDefault="007A3B40" w:rsidP="00686421">
      <w:pPr>
        <w:spacing w:after="0"/>
        <w:ind w:firstLine="426"/>
        <w:jc w:val="both"/>
        <w:rPr>
          <w:rFonts w:ascii="Times New Roman" w:eastAsia="Times New Roman" w:hAnsi="Times New Roman" w:cs="Times New Roman"/>
          <w:sz w:val="24"/>
          <w:szCs w:val="24"/>
          <w:lang w:val="id-ID"/>
        </w:rPr>
      </w:pPr>
      <w:r w:rsidRPr="00935C7F">
        <w:rPr>
          <w:rFonts w:ascii="Times New Roman" w:eastAsia="Times New Roman" w:hAnsi="Times New Roman" w:cs="Times New Roman"/>
          <w:sz w:val="24"/>
          <w:szCs w:val="24"/>
          <w:lang w:val="id-ID"/>
        </w:rPr>
        <w:t xml:space="preserve">The number of </w:t>
      </w:r>
      <w:r w:rsidR="00BE4252" w:rsidRPr="00935C7F">
        <w:rPr>
          <w:rFonts w:ascii="Times New Roman" w:eastAsia="Times New Roman" w:hAnsi="Times New Roman" w:cs="Times New Roman"/>
          <w:sz w:val="24"/>
          <w:szCs w:val="24"/>
          <w:lang w:val="id-ID"/>
        </w:rPr>
        <w:t>KAM</w:t>
      </w:r>
      <w:r w:rsidRPr="00935C7F">
        <w:rPr>
          <w:rFonts w:ascii="Times New Roman" w:eastAsia="Times New Roman" w:hAnsi="Times New Roman" w:cs="Times New Roman"/>
          <w:sz w:val="24"/>
          <w:szCs w:val="24"/>
          <w:lang w:val="id-ID"/>
        </w:rPr>
        <w:t xml:space="preserve"> disclosed and the level of detail provided in the paragraphs are crucial to the quality of this risk communication. Research has shown that more comprehensive KAM disclosures are associated with lower levels of information asymmetry, which in turn reduces market volatility and risk. For instance, </w:t>
      </w:r>
      <w:hyperlink w:anchor="Zhang" w:history="1">
        <w:r w:rsidRPr="00935C7F">
          <w:rPr>
            <w:rStyle w:val="Hyperlink"/>
            <w:rFonts w:ascii="Times New Roman" w:eastAsia="Times New Roman" w:hAnsi="Times New Roman" w:cs="Times New Roman"/>
            <w:sz w:val="24"/>
            <w:szCs w:val="24"/>
            <w:u w:val="none"/>
            <w:lang w:val="id-ID"/>
          </w:rPr>
          <w:fldChar w:fldCharType="begin"/>
        </w:r>
        <w:r w:rsidRPr="00935C7F">
          <w:rPr>
            <w:rStyle w:val="Hyperlink"/>
            <w:rFonts w:ascii="Times New Roman" w:eastAsia="Times New Roman" w:hAnsi="Times New Roman" w:cs="Times New Roman"/>
            <w:sz w:val="24"/>
            <w:szCs w:val="24"/>
            <w:u w:val="none"/>
            <w:lang w:val="id-ID"/>
          </w:rPr>
          <w:instrText xml:space="preserve"> ADDIN ZOTERO_ITEM CSL_CITATION {"citationID":"amc28u5ejk","properties":{"formattedCitation":"\\uldash{(Zhang, 2020)}","plainCitation":"(Zhang, 2020)","dontUpdate":true,"noteIndex":0},"citationItems":[{"id":700,"uris":["http://zotero.org/users/10852507/items/8EXZVDH5"],"itemData":{"id":700,"type":"article-journal","container-title":"E3s Web of Conferences","DOI":"10.1051/e3sconf/202019803032","journalAbbreviation":"E3s Web of Conferences","page":"03032","title":"A Study of the Impact of Information Disclosure Quality on the Efficiency of Corporate Investment—Based on Civil Engineering Listed Companies","volume":"198","author":[{"family":"Zhang","given":"Liying"}],"issued":{"date-parts":[["2020"]]}}}],"schema":"https://github.com/citation-style-language/schema/raw/master/csl-citation.json"} </w:instrText>
        </w:r>
        <w:r w:rsidRPr="00935C7F">
          <w:rPr>
            <w:rStyle w:val="Hyperlink"/>
            <w:rFonts w:ascii="Times New Roman" w:eastAsia="Times New Roman" w:hAnsi="Times New Roman" w:cs="Times New Roman"/>
            <w:sz w:val="24"/>
            <w:szCs w:val="24"/>
            <w:u w:val="none"/>
            <w:lang w:val="id-ID"/>
          </w:rPr>
          <w:fldChar w:fldCharType="separate"/>
        </w:r>
        <w:r w:rsidRPr="00935C7F">
          <w:rPr>
            <w:rStyle w:val="Hyperlink"/>
            <w:rFonts w:ascii="Times New Roman" w:eastAsia="Times New Roman" w:hAnsi="Times New Roman" w:cs="Times New Roman"/>
            <w:sz w:val="24"/>
            <w:szCs w:val="24"/>
            <w:u w:val="none"/>
          </w:rPr>
          <w:t>Zhang (2020)</w:t>
        </w:r>
        <w:r w:rsidRPr="00935C7F">
          <w:rPr>
            <w:rStyle w:val="Hyperlink"/>
            <w:rFonts w:ascii="Times New Roman" w:eastAsia="Times New Roman" w:hAnsi="Times New Roman" w:cs="Times New Roman"/>
            <w:sz w:val="24"/>
            <w:szCs w:val="24"/>
            <w:u w:val="none"/>
          </w:rPr>
          <w:fldChar w:fldCharType="end"/>
        </w:r>
      </w:hyperlink>
      <w:r w:rsidRPr="00935C7F">
        <w:rPr>
          <w:rFonts w:ascii="Times New Roman" w:eastAsia="Times New Roman" w:hAnsi="Times New Roman" w:cs="Times New Roman"/>
          <w:sz w:val="24"/>
          <w:szCs w:val="24"/>
          <w:lang w:val="id-ID"/>
        </w:rPr>
        <w:t xml:space="preserve"> argues that clear and detailed disclosures help eliminate uncertainties that investors may have regarding a company's operations or financial status. The disclosure of monetary information related to </w:t>
      </w:r>
      <w:r w:rsidR="00BE4252" w:rsidRPr="00935C7F">
        <w:rPr>
          <w:rFonts w:ascii="Times New Roman" w:eastAsia="Times New Roman" w:hAnsi="Times New Roman" w:cs="Times New Roman"/>
          <w:sz w:val="24"/>
          <w:szCs w:val="24"/>
          <w:lang w:val="id-ID"/>
        </w:rPr>
        <w:t>KAM</w:t>
      </w:r>
      <w:r w:rsidRPr="00935C7F">
        <w:rPr>
          <w:rFonts w:ascii="Times New Roman" w:eastAsia="Times New Roman" w:hAnsi="Times New Roman" w:cs="Times New Roman"/>
          <w:sz w:val="24"/>
          <w:szCs w:val="24"/>
          <w:lang w:val="id-ID"/>
        </w:rPr>
        <w:t xml:space="preserve"> could further enhance this effect, as it provides specific financial data on the risks being discussed. This type of detailed information allows investors to make more informed decisions, potentially leading to a decrease in stock price volatility, which is often seen as an indicator of investment risk</w:t>
      </w:r>
      <w:r w:rsidR="00F61006" w:rsidRPr="00935C7F">
        <w:rPr>
          <w:rFonts w:ascii="Times New Roman" w:eastAsia="Times New Roman" w:hAnsi="Times New Roman" w:cs="Times New Roman"/>
          <w:sz w:val="24"/>
          <w:szCs w:val="24"/>
          <w:lang w:val="id-ID"/>
        </w:rPr>
        <w:t xml:space="preserve"> </w:t>
      </w:r>
      <w:r w:rsidR="00F61006" w:rsidRPr="00935C7F">
        <w:rPr>
          <w:rFonts w:ascii="Times New Roman" w:eastAsia="Aptos" w:hAnsi="Times New Roman" w:cs="Arial"/>
          <w:kern w:val="2"/>
          <w:sz w:val="24"/>
          <w:lang w:val="id-ID" w:eastAsia="en-US"/>
          <w14:ligatures w14:val="standardContextual"/>
        </w:rPr>
        <w:fldChar w:fldCharType="begin"/>
      </w:r>
      <w:r w:rsidR="00F61006" w:rsidRPr="00935C7F">
        <w:rPr>
          <w:rFonts w:ascii="Times New Roman" w:eastAsia="Aptos" w:hAnsi="Times New Roman" w:cs="Arial"/>
          <w:kern w:val="2"/>
          <w:sz w:val="24"/>
          <w:lang w:val="id-ID" w:eastAsia="en-US"/>
          <w14:ligatures w14:val="standardContextual"/>
        </w:rPr>
        <w:instrText xml:space="preserve"> ADDIN ZOTERO_ITEM CSL_CITATION {"citationID":"sVnfLWma","properties":{"formattedCitation":"(Longyuan et al., 2022; Mathew, 2011; Segal, 2019)","plainCitation":"(Longyuan et al., 2022; Mathew, 2011; Segal, 2019)","noteIndex":0},"citationItems":[{"id":714,"uris":["http://zotero.org/users/10852507/items/67CYW6PF"],"itemData":{"id":714,"type":"article-journal","container-title":"International Journal of Innovative Research and Development","DOI":"10.24940/ijird/2022/v11/i9/sep22010","journalAbbreviation":"International Journal of Innovative Research and Development","title":"Research on Influencing Factors of Key  Audit Matters Disclosure in China","author":[{"family":"Longyuan","given":"Sun"},{"family":"Zhang","given":"Yamin"},{"family":"Chun-yu","given":"Xing"}],"issued":{"date-parts":[["2022"]]}}},{"id":667,"uris":["http://zotero.org/users/10852507/items/2BL2NERR"],"itemData":{"id":667,"type":"article-journal","container-title":"Strategic Outsourcing an International Journal","DOI":"10.1108/17538291111148008","issue":"2","journalAbbreviation":"Strategic Outsourcing an International Journal","page":"179-200","title":"Mitigation of Risks Due to Service Provider Behavior in Offshore Software Development","volume":"4","author":[{"family":"Mathew","given":"Saji K."}],"issued":{"date-parts":[["2011"]]}}},{"id":715,"uris":["http://zotero.org/users/10852507/items/8T76DLZY"],"itemData":{"id":715,"type":"article-journal","container-title":"Meditari Accountancy Research","DOI":"10.1108/medar-06-2018-0355","issue":"3","journalAbbreviation":"Meditari Accountancy Research","page":"472-494","title":"Key Audit Matters: Insight From Audit Experts","volume":"27","author":[{"family":"Segal","given":"Milton"}],"issued":{"date-parts":[["2019"]]}}}],"schema":"https://github.com/citation-style-language/schema/raw/master/csl-citation.json"} </w:instrText>
      </w:r>
      <w:r w:rsidR="00F61006" w:rsidRPr="00935C7F">
        <w:rPr>
          <w:rFonts w:ascii="Times New Roman" w:eastAsia="Aptos" w:hAnsi="Times New Roman" w:cs="Arial"/>
          <w:kern w:val="2"/>
          <w:sz w:val="24"/>
          <w:lang w:val="id-ID" w:eastAsia="en-US"/>
          <w14:ligatures w14:val="standardContextual"/>
        </w:rPr>
        <w:fldChar w:fldCharType="separate"/>
      </w:r>
      <w:r w:rsidR="00F61006" w:rsidRPr="00935C7F">
        <w:rPr>
          <w:rFonts w:ascii="Times New Roman" w:eastAsia="Aptos" w:hAnsi="Times New Roman" w:cs="Times New Roman"/>
          <w:kern w:val="2"/>
          <w:sz w:val="24"/>
          <w:lang w:val="id-ID" w:eastAsia="en-US"/>
          <w14:ligatures w14:val="standardContextual"/>
        </w:rPr>
        <w:t>(</w:t>
      </w:r>
      <w:hyperlink w:anchor="Longyuan" w:history="1">
        <w:r w:rsidR="00F61006" w:rsidRPr="00935C7F">
          <w:rPr>
            <w:rStyle w:val="Hyperlink"/>
            <w:rFonts w:ascii="Times New Roman" w:eastAsia="Aptos" w:hAnsi="Times New Roman" w:cs="Times New Roman"/>
            <w:kern w:val="2"/>
            <w:sz w:val="24"/>
            <w:u w:val="none"/>
            <w:lang w:val="id-ID" w:eastAsia="en-US"/>
            <w14:ligatures w14:val="standardContextual"/>
          </w:rPr>
          <w:t>Longyuan et al., 2022</w:t>
        </w:r>
      </w:hyperlink>
      <w:r w:rsidR="00F61006" w:rsidRPr="00935C7F">
        <w:rPr>
          <w:rFonts w:ascii="Times New Roman" w:eastAsia="Aptos" w:hAnsi="Times New Roman" w:cs="Times New Roman"/>
          <w:kern w:val="2"/>
          <w:sz w:val="24"/>
          <w:lang w:val="id-ID" w:eastAsia="en-US"/>
          <w14:ligatures w14:val="standardContextual"/>
        </w:rPr>
        <w:t xml:space="preserve">; </w:t>
      </w:r>
      <w:hyperlink w:anchor="Mathew" w:history="1">
        <w:r w:rsidR="00F61006" w:rsidRPr="00935C7F">
          <w:rPr>
            <w:rStyle w:val="Hyperlink"/>
            <w:rFonts w:ascii="Times New Roman" w:eastAsia="Aptos" w:hAnsi="Times New Roman" w:cs="Times New Roman"/>
            <w:kern w:val="2"/>
            <w:sz w:val="24"/>
            <w:u w:val="none"/>
            <w:lang w:val="id-ID" w:eastAsia="en-US"/>
            <w14:ligatures w14:val="standardContextual"/>
          </w:rPr>
          <w:t>Mathew, 2011</w:t>
        </w:r>
      </w:hyperlink>
      <w:r w:rsidR="00F61006" w:rsidRPr="00935C7F">
        <w:rPr>
          <w:rFonts w:ascii="Times New Roman" w:eastAsia="Aptos" w:hAnsi="Times New Roman" w:cs="Times New Roman"/>
          <w:kern w:val="2"/>
          <w:sz w:val="24"/>
          <w:lang w:val="id-ID" w:eastAsia="en-US"/>
          <w14:ligatures w14:val="standardContextual"/>
        </w:rPr>
        <w:t xml:space="preserve">; </w:t>
      </w:r>
      <w:hyperlink w:anchor="Segal" w:history="1">
        <w:r w:rsidR="00F61006" w:rsidRPr="00935C7F">
          <w:rPr>
            <w:rStyle w:val="Hyperlink"/>
            <w:rFonts w:ascii="Times New Roman" w:eastAsia="Aptos" w:hAnsi="Times New Roman" w:cs="Times New Roman"/>
            <w:kern w:val="2"/>
            <w:sz w:val="24"/>
            <w:u w:val="none"/>
            <w:lang w:val="id-ID" w:eastAsia="en-US"/>
            <w14:ligatures w14:val="standardContextual"/>
          </w:rPr>
          <w:t>Segal, 2019</w:t>
        </w:r>
      </w:hyperlink>
      <w:r w:rsidR="00F61006" w:rsidRPr="00935C7F">
        <w:rPr>
          <w:rFonts w:ascii="Times New Roman" w:eastAsia="Aptos" w:hAnsi="Times New Roman" w:cs="Times New Roman"/>
          <w:kern w:val="2"/>
          <w:sz w:val="24"/>
          <w:lang w:val="id-ID" w:eastAsia="en-US"/>
          <w14:ligatures w14:val="standardContextual"/>
        </w:rPr>
        <w:t>)</w:t>
      </w:r>
      <w:r w:rsidR="00F61006" w:rsidRPr="00935C7F">
        <w:rPr>
          <w:rFonts w:ascii="Times New Roman" w:eastAsia="Aptos" w:hAnsi="Times New Roman" w:cs="Arial"/>
          <w:kern w:val="2"/>
          <w:sz w:val="24"/>
          <w:lang w:val="id-ID" w:eastAsia="en-US"/>
          <w14:ligatures w14:val="standardContextual"/>
        </w:rPr>
        <w:fldChar w:fldCharType="end"/>
      </w:r>
      <w:r w:rsidR="00C0079A" w:rsidRPr="00935C7F">
        <w:rPr>
          <w:rFonts w:ascii="Times New Roman" w:eastAsia="Aptos" w:hAnsi="Times New Roman" w:cs="Arial"/>
          <w:kern w:val="2"/>
          <w:sz w:val="24"/>
          <w:lang w:val="id-ID" w:eastAsia="en-US"/>
          <w14:ligatures w14:val="standardContextual"/>
        </w:rPr>
        <w:t>.</w:t>
      </w:r>
    </w:p>
    <w:p w14:paraId="6E9A8C60" w14:textId="750425D1" w:rsidR="007A3B40" w:rsidRPr="00935C7F" w:rsidRDefault="007A3B40" w:rsidP="00686421">
      <w:pPr>
        <w:spacing w:after="0"/>
        <w:ind w:firstLine="426"/>
        <w:jc w:val="both"/>
        <w:rPr>
          <w:rFonts w:ascii="Times New Roman" w:eastAsia="Aptos" w:hAnsi="Times New Roman" w:cs="Arial"/>
          <w:kern w:val="2"/>
          <w:sz w:val="24"/>
          <w:lang w:val="id-ID" w:eastAsia="en-US"/>
          <w14:ligatures w14:val="standardContextual"/>
        </w:rPr>
      </w:pPr>
      <w:r w:rsidRPr="00935C7F">
        <w:rPr>
          <w:rFonts w:ascii="Times New Roman" w:eastAsia="Times New Roman" w:hAnsi="Times New Roman" w:cs="Times New Roman"/>
          <w:sz w:val="24"/>
          <w:szCs w:val="24"/>
          <w:lang w:val="id-ID"/>
        </w:rPr>
        <w:t xml:space="preserve">Moreover, the presence of KAM disclosures can influence the way investors perceive the risk of material misstatement and its impact on the company's financial stability. The </w:t>
      </w:r>
      <w:r w:rsidRPr="00935C7F">
        <w:rPr>
          <w:rFonts w:ascii="Times New Roman" w:eastAsia="Times New Roman" w:hAnsi="Times New Roman" w:cs="Times New Roman"/>
          <w:sz w:val="24"/>
          <w:szCs w:val="24"/>
          <w:lang w:val="id-ID"/>
        </w:rPr>
        <w:lastRenderedPageBreak/>
        <w:t>transparency offered by KAM disclosures makes investors more aware of the risks involved in investing in a particular company, allowing them to make more accurate assessments of the company's risk profile. As a result, investors are less likely to be surprised by adverse financial outcomes, and therefore, are less likely to view the investment as risky</w:t>
      </w:r>
      <w:r w:rsidR="00C44949" w:rsidRPr="00935C7F">
        <w:rPr>
          <w:rFonts w:ascii="Times New Roman" w:eastAsia="Times New Roman" w:hAnsi="Times New Roman" w:cs="Times New Roman"/>
          <w:sz w:val="24"/>
          <w:szCs w:val="24"/>
          <w:lang w:val="id-ID"/>
        </w:rPr>
        <w:t xml:space="preserve"> </w:t>
      </w:r>
      <w:r w:rsidR="00C44949" w:rsidRPr="00935C7F">
        <w:rPr>
          <w:rFonts w:ascii="Times New Roman" w:eastAsia="Aptos" w:hAnsi="Times New Roman" w:cs="Arial"/>
          <w:kern w:val="2"/>
          <w:sz w:val="24"/>
          <w:lang w:val="id-ID" w:eastAsia="en-US"/>
          <w14:ligatures w14:val="standardContextual"/>
        </w:rPr>
        <w:fldChar w:fldCharType="begin"/>
      </w:r>
      <w:r w:rsidR="003C6F34" w:rsidRPr="00935C7F">
        <w:rPr>
          <w:rFonts w:ascii="Times New Roman" w:eastAsia="Aptos" w:hAnsi="Times New Roman" w:cs="Arial"/>
          <w:kern w:val="2"/>
          <w:sz w:val="24"/>
          <w:lang w:val="id-ID" w:eastAsia="en-US"/>
          <w14:ligatures w14:val="standardContextual"/>
        </w:rPr>
        <w:instrText xml:space="preserve"> ADDIN ZOTERO_ITEM CSL_CITATION {"citationID":"cwkbHi1n","properties":{"formattedCitation":"(Baatwah et al., 2022; Brouwer et al., 2016; Gen\\uc0\\u231{} &amp; ERDEM, 2021; Nguyen &amp; Kend, 2021)","plainCitation":"(Baatwah et al., 2022; Brouwer et al., 2016; Genç &amp; ERDEM, 2021; Nguyen &amp; Kend, 2021)","dontUpdate":true,"noteIndex":0},"citationItems":[{"id":721,"uris":["http://zotero.org/users/10852507/items/VS4BBWHR"],"itemData":{"id":721,"type":"article-journal","container-title":"International Journal of Emerging Markets","DOI":"10.1108/ijoem-10-2021-1606","issue":"3","journalAbbreviation":"International Journal of Emerging Markets","page":"798-821","title":"Does KAM Disclosure Make a Difference in Emerging Markets? An Investigation Into Audit Fees and Report Lag","volume":"19","author":[{"family":"Baatwah","given":"Saeed R."},{"family":"Almoataz","given":"Ehsan S."},{"family":"Omer","given":"Waddah K. H."},{"family":"Aljaaidi","given":"Khaled S."}],"issued":{"date-parts":[["2022"]]}}},{"id":730,"uris":["http://zotero.org/users/10852507/items/PCG4YIWE"],"itemData":{"id":730,"type":"article-journal","container-title":"Maandblad Voor Accountancy en Bedrijfseconomie","DOI":"10.5117/mab.90.31228","issue":"12","journalAbbreviation":"Maandblad Voor Accountancy en Bedrijfseconomie","page":"580-613","title":"The Relationship Between Key Audit Matters in the New Auditor's Report and the Risks Reported in the Management Report and the Estimates and Judgments in the Notes to the Financial Statements","volume":"90","author":[{"family":"Brouwer","given":"Arjan"},{"family":"Eimers","given":"Peter"},{"family":"Langendijk","given":"Henk P."}],"issued":{"date-parts":[["2016"]]}}},{"id":709,"uris":["http://zotero.org/users/10852507/items/H2FHPH2T"],"itemData":{"id":709,"type":"article-journal","container-title":"Emaj Emerging Markets Journal","DOI":"10.5195/emaj.2021.219","issue":"1","journalAbbreviation":"Emaj Emerging Markets Journal","page":"60-66","title":"The Analysis of the Relationship Between Key Audit Matters (KAM) and Firm Characteristics: The Case of Turkey","volume":"11","author":[{"family":"Genç","given":"Elif G."},{"family":"ERDEM","given":"Başak"}],"issued":{"date-parts":[["2021"]]}}},{"id":720,"uris":["http://zotero.org/users/10852507/items/QGHHAH6H"],"itemData":{"id":720,"type":"article-journal","container-title":"Managerial Auditing Journal","DOI":"10.1108/maj-10-2019-2445","issue":"3","journalAbbreviation":"Managerial Auditing Journal","page":"437-462","title":"The Perceived Impact of the KAM Reforms on Audit Reports, Audit Quality and Auditor Work Practices: Stakeholders’ Perspectives","volume":"36","author":[{"family":"Nguyen","given":"Lan A."},{"family":"Kend","given":"Michael"}],"issued":{"date-parts":[["2021"]]}}}],"schema":"https://github.com/citation-style-language/schema/raw/master/csl-citation.json"} </w:instrText>
      </w:r>
      <w:r w:rsidR="00C44949" w:rsidRPr="00935C7F">
        <w:rPr>
          <w:rFonts w:ascii="Times New Roman" w:eastAsia="Aptos" w:hAnsi="Times New Roman" w:cs="Arial"/>
          <w:kern w:val="2"/>
          <w:sz w:val="24"/>
          <w:lang w:val="id-ID" w:eastAsia="en-US"/>
          <w14:ligatures w14:val="standardContextual"/>
        </w:rPr>
        <w:fldChar w:fldCharType="separate"/>
      </w:r>
      <w:r w:rsidR="00C44949" w:rsidRPr="00935C7F">
        <w:rPr>
          <w:rFonts w:ascii="Times New Roman" w:eastAsia="Aptos" w:hAnsi="Times New Roman" w:cs="Times New Roman"/>
          <w:sz w:val="24"/>
          <w:lang w:val="id-ID" w:eastAsia="en-US"/>
          <w14:ligatures w14:val="standardContextual"/>
        </w:rPr>
        <w:t>(</w:t>
      </w:r>
      <w:hyperlink w:anchor="Baatwah" w:history="1">
        <w:r w:rsidR="00C44949" w:rsidRPr="00935C7F">
          <w:rPr>
            <w:rStyle w:val="Hyperlink"/>
            <w:rFonts w:ascii="Times New Roman" w:eastAsia="Aptos" w:hAnsi="Times New Roman" w:cs="Times New Roman"/>
            <w:sz w:val="24"/>
            <w:u w:val="none"/>
            <w:lang w:val="id-ID" w:eastAsia="en-US"/>
            <w14:ligatures w14:val="standardContextual"/>
          </w:rPr>
          <w:t>Baatwah et al., 2022</w:t>
        </w:r>
      </w:hyperlink>
      <w:r w:rsidR="00C44949" w:rsidRPr="00935C7F">
        <w:rPr>
          <w:rFonts w:ascii="Times New Roman" w:eastAsia="Aptos" w:hAnsi="Times New Roman" w:cs="Times New Roman"/>
          <w:sz w:val="24"/>
          <w:lang w:val="id-ID" w:eastAsia="en-US"/>
          <w14:ligatures w14:val="standardContextual"/>
        </w:rPr>
        <w:t xml:space="preserve">; </w:t>
      </w:r>
      <w:hyperlink w:anchor="Brouwer" w:history="1">
        <w:r w:rsidR="00C44949" w:rsidRPr="00935C7F">
          <w:rPr>
            <w:rStyle w:val="Hyperlink"/>
            <w:rFonts w:ascii="Times New Roman" w:eastAsia="Aptos" w:hAnsi="Times New Roman" w:cs="Times New Roman"/>
            <w:sz w:val="24"/>
            <w:u w:val="none"/>
            <w:lang w:val="id-ID" w:eastAsia="en-US"/>
            <w14:ligatures w14:val="standardContextual"/>
          </w:rPr>
          <w:t>Brouwer et al., 2016</w:t>
        </w:r>
      </w:hyperlink>
      <w:r w:rsidR="00C44949" w:rsidRPr="00935C7F">
        <w:rPr>
          <w:rFonts w:ascii="Times New Roman" w:eastAsia="Aptos" w:hAnsi="Times New Roman" w:cs="Times New Roman"/>
          <w:sz w:val="24"/>
          <w:lang w:val="id-ID" w:eastAsia="en-US"/>
          <w14:ligatures w14:val="standardContextual"/>
        </w:rPr>
        <w:t xml:space="preserve">; </w:t>
      </w:r>
      <w:hyperlink w:anchor="Gen" w:history="1">
        <w:r w:rsidR="00C44949" w:rsidRPr="00935C7F">
          <w:rPr>
            <w:rStyle w:val="Hyperlink"/>
            <w:rFonts w:ascii="Times New Roman" w:eastAsia="Aptos" w:hAnsi="Times New Roman" w:cs="Times New Roman"/>
            <w:sz w:val="24"/>
            <w:u w:val="none"/>
            <w:lang w:val="id-ID" w:eastAsia="en-US"/>
            <w14:ligatures w14:val="standardContextual"/>
          </w:rPr>
          <w:t>Genç &amp; Erdem, 2021</w:t>
        </w:r>
      </w:hyperlink>
      <w:r w:rsidR="00C44949" w:rsidRPr="00935C7F">
        <w:rPr>
          <w:rFonts w:ascii="Times New Roman" w:eastAsia="Aptos" w:hAnsi="Times New Roman" w:cs="Times New Roman"/>
          <w:sz w:val="24"/>
          <w:lang w:val="id-ID" w:eastAsia="en-US"/>
          <w14:ligatures w14:val="standardContextual"/>
        </w:rPr>
        <w:t xml:space="preserve">; </w:t>
      </w:r>
      <w:hyperlink w:anchor="Kend" w:history="1">
        <w:r w:rsidR="00C44949" w:rsidRPr="00935C7F">
          <w:rPr>
            <w:rStyle w:val="Hyperlink"/>
            <w:rFonts w:ascii="Times New Roman" w:eastAsia="Aptos" w:hAnsi="Times New Roman" w:cs="Times New Roman"/>
            <w:sz w:val="24"/>
            <w:u w:val="none"/>
            <w:lang w:val="id-ID" w:eastAsia="en-US"/>
            <w14:ligatures w14:val="standardContextual"/>
          </w:rPr>
          <w:t>Nguyen &amp; Kend, 2021</w:t>
        </w:r>
      </w:hyperlink>
      <w:r w:rsidR="00C44949" w:rsidRPr="00935C7F">
        <w:rPr>
          <w:rFonts w:ascii="Times New Roman" w:eastAsia="Aptos" w:hAnsi="Times New Roman" w:cs="Times New Roman"/>
          <w:sz w:val="24"/>
          <w:lang w:val="id-ID" w:eastAsia="en-US"/>
          <w14:ligatures w14:val="standardContextual"/>
        </w:rPr>
        <w:t>)</w:t>
      </w:r>
      <w:r w:rsidR="00C44949" w:rsidRPr="00935C7F">
        <w:rPr>
          <w:rFonts w:ascii="Times New Roman" w:eastAsia="Aptos" w:hAnsi="Times New Roman" w:cs="Arial"/>
          <w:kern w:val="2"/>
          <w:sz w:val="24"/>
          <w:lang w:val="id-ID" w:eastAsia="en-US"/>
          <w14:ligatures w14:val="standardContextual"/>
        </w:rPr>
        <w:fldChar w:fldCharType="end"/>
      </w:r>
      <w:r w:rsidRPr="00935C7F">
        <w:rPr>
          <w:rFonts w:ascii="Times New Roman" w:eastAsia="Times New Roman" w:hAnsi="Times New Roman" w:cs="Times New Roman"/>
          <w:sz w:val="24"/>
          <w:szCs w:val="24"/>
          <w:lang w:val="id-ID"/>
        </w:rPr>
        <w:t>.</w:t>
      </w:r>
    </w:p>
    <w:p w14:paraId="4E25522F" w14:textId="7CDC944B" w:rsidR="00D158E4" w:rsidRPr="00935C7F" w:rsidRDefault="00D158E4" w:rsidP="00686421">
      <w:pPr>
        <w:spacing w:after="0"/>
        <w:ind w:firstLine="426"/>
        <w:jc w:val="both"/>
        <w:rPr>
          <w:rFonts w:ascii="Times New Roman" w:eastAsia="Times New Roman" w:hAnsi="Times New Roman" w:cs="Times New Roman"/>
          <w:sz w:val="24"/>
          <w:szCs w:val="24"/>
          <w:lang w:val="id-ID"/>
        </w:rPr>
      </w:pPr>
      <w:r w:rsidRPr="00935C7F">
        <w:rPr>
          <w:rFonts w:ascii="Times New Roman" w:eastAsia="Times New Roman" w:hAnsi="Times New Roman" w:cs="Times New Roman"/>
          <w:sz w:val="24"/>
          <w:szCs w:val="24"/>
          <w:lang w:val="id-ID"/>
        </w:rPr>
        <w:t xml:space="preserve">In Indonesia, where financial reporting and auditing standards continue to evolve, the impact of KAM (Key Audit Matters) disclosures may be particularly significant. Emerging markets like Indonesia tend to have less stringent regulatory frameworks and more volatile markets, making detailed audit disclosures especially beneficial for investors in mitigating risk. The study by </w:t>
      </w:r>
      <w:hyperlink w:anchor="Sania" w:history="1">
        <w:r w:rsidRPr="00935C7F">
          <w:rPr>
            <w:rStyle w:val="Hyperlink"/>
            <w:rFonts w:ascii="Times New Roman" w:eastAsia="Times New Roman" w:hAnsi="Times New Roman" w:cs="Times New Roman"/>
            <w:sz w:val="24"/>
            <w:szCs w:val="24"/>
            <w:u w:val="none"/>
            <w:lang w:val="id-ID"/>
          </w:rPr>
          <w:fldChar w:fldCharType="begin"/>
        </w:r>
        <w:r w:rsidRPr="00935C7F">
          <w:rPr>
            <w:rStyle w:val="Hyperlink"/>
            <w:rFonts w:ascii="Times New Roman" w:eastAsia="Times New Roman" w:hAnsi="Times New Roman" w:cs="Times New Roman"/>
            <w:sz w:val="24"/>
            <w:szCs w:val="24"/>
            <w:u w:val="none"/>
            <w:lang w:val="id-ID"/>
          </w:rPr>
          <w:instrText xml:space="preserve"> ADDIN ZOTERO_ITEM CSL_CITATION {"citationID":"a1dd7ro141k","properties":{"formattedCitation":"\\uldash{(Sania &amp; Ali, 2024)}","plainCitation":"(Sania &amp; Ali, 2024)","dontUpdate":true,"noteIndex":0},"citationItems":[{"id":703,"uris":["http://zotero.org/users/10852507/items/RCGQW74R"],"itemData":{"id":703,"type":"article-journal","container-title":"Eduvest - Journal of Universal Studies","DOI":"10.59188/eduvest.v4i10.38822","issue":"10","journalAbbreviation":"Eduvest - Journal of Universal Studies","page":"9547-9564","title":"The Impact of Audit Fee, Size of Public Accounting Firm, Company Size, and Leverage on the Communication of Key Audit Matters (Implementation of the First Year of KAMs Adoption in Independent Auditors' Reports in Indonesia)","volume":"4","author":[{"family":"Sania","given":"Widya"},{"family":"Ali","given":"Syahril"}],"issued":{"date-parts":[["2024"]]}}}],"schema":"https://github.com/citation-style-language/schema/raw/master/csl-citation.json"} </w:instrText>
        </w:r>
        <w:r w:rsidRPr="00935C7F">
          <w:rPr>
            <w:rStyle w:val="Hyperlink"/>
            <w:rFonts w:ascii="Times New Roman" w:eastAsia="Times New Roman" w:hAnsi="Times New Roman" w:cs="Times New Roman"/>
            <w:sz w:val="24"/>
            <w:szCs w:val="24"/>
            <w:u w:val="none"/>
            <w:lang w:val="id-ID"/>
          </w:rPr>
          <w:fldChar w:fldCharType="separate"/>
        </w:r>
        <w:r w:rsidRPr="00935C7F">
          <w:rPr>
            <w:rStyle w:val="Hyperlink"/>
            <w:rFonts w:ascii="Times New Roman" w:eastAsia="Times New Roman" w:hAnsi="Times New Roman" w:cs="Times New Roman"/>
            <w:sz w:val="24"/>
            <w:szCs w:val="24"/>
            <w:u w:val="none"/>
          </w:rPr>
          <w:t>Sania &amp; Ali (2024)</w:t>
        </w:r>
        <w:r w:rsidRPr="00935C7F">
          <w:rPr>
            <w:rStyle w:val="Hyperlink"/>
            <w:rFonts w:ascii="Times New Roman" w:eastAsia="Times New Roman" w:hAnsi="Times New Roman" w:cs="Times New Roman"/>
            <w:sz w:val="24"/>
            <w:szCs w:val="24"/>
            <w:u w:val="none"/>
          </w:rPr>
          <w:fldChar w:fldCharType="end"/>
        </w:r>
      </w:hyperlink>
      <w:r w:rsidRPr="00935C7F">
        <w:rPr>
          <w:rFonts w:ascii="Times New Roman" w:eastAsia="Times New Roman" w:hAnsi="Times New Roman" w:cs="Times New Roman"/>
          <w:sz w:val="24"/>
          <w:szCs w:val="24"/>
          <w:lang w:val="id-ID"/>
        </w:rPr>
        <w:t xml:space="preserve"> underscores the role of KAM disclosures in Indonesian audits, demonstrating that firms investing more in audit quality tend to provide more detailed KAM disclosures. This finding supports the notion that the extent of KAM disclosure can serve as a critical tool in reducing investment risk by enhancing transparency and providing investors with a clearer understanding of potential financial risks. Based on this reasoning, the main hypothesis is there is a negative association between </w:t>
      </w:r>
      <w:r w:rsidR="00BE4252" w:rsidRPr="00935C7F">
        <w:rPr>
          <w:rFonts w:ascii="Times New Roman" w:eastAsia="Times New Roman" w:hAnsi="Times New Roman" w:cs="Times New Roman"/>
          <w:sz w:val="24"/>
          <w:szCs w:val="24"/>
          <w:lang w:val="id-ID"/>
        </w:rPr>
        <w:t>KAM</w:t>
      </w:r>
      <w:r w:rsidRPr="00935C7F">
        <w:rPr>
          <w:rFonts w:ascii="Times New Roman" w:eastAsia="Times New Roman" w:hAnsi="Times New Roman" w:cs="Times New Roman"/>
          <w:sz w:val="24"/>
          <w:szCs w:val="24"/>
          <w:lang w:val="id-ID"/>
        </w:rPr>
        <w:t xml:space="preserve"> disclosures and investment risk.</w:t>
      </w:r>
    </w:p>
    <w:p w14:paraId="76CA5EEB" w14:textId="77777777" w:rsidR="00FE0406" w:rsidRPr="00935C7F" w:rsidRDefault="00FE0406" w:rsidP="00686421">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196AB187" w14:textId="1199E6F6" w:rsidR="007A3B40" w:rsidRPr="00935C7F" w:rsidRDefault="007A3B40" w:rsidP="00686421">
      <w:pPr>
        <w:numPr>
          <w:ilvl w:val="0"/>
          <w:numId w:val="1"/>
        </w:numPr>
        <w:pBdr>
          <w:top w:val="nil"/>
          <w:left w:val="nil"/>
          <w:bottom w:val="nil"/>
          <w:right w:val="nil"/>
          <w:between w:val="nil"/>
        </w:pBdr>
        <w:spacing w:after="0"/>
        <w:ind w:left="426" w:hanging="426"/>
        <w:jc w:val="both"/>
        <w:rPr>
          <w:rFonts w:ascii="Times New Roman" w:eastAsia="Times New Roman" w:hAnsi="Times New Roman" w:cs="Times New Roman"/>
          <w:b/>
          <w:color w:val="000000"/>
          <w:sz w:val="24"/>
          <w:szCs w:val="24"/>
        </w:rPr>
      </w:pPr>
      <w:r w:rsidRPr="00935C7F">
        <w:rPr>
          <w:rFonts w:ascii="Times New Roman" w:eastAsia="Times New Roman" w:hAnsi="Times New Roman" w:cs="Times New Roman"/>
          <w:b/>
          <w:color w:val="000000"/>
          <w:sz w:val="24"/>
          <w:szCs w:val="24"/>
        </w:rPr>
        <w:t>Research Method</w:t>
      </w:r>
      <w:r w:rsidR="005937A6" w:rsidRPr="00935C7F">
        <w:rPr>
          <w:rFonts w:ascii="Times New Roman" w:eastAsia="Times New Roman" w:hAnsi="Times New Roman" w:cs="Times New Roman"/>
          <w:b/>
          <w:color w:val="000000"/>
          <w:sz w:val="24"/>
          <w:szCs w:val="24"/>
        </w:rPr>
        <w:t xml:space="preserve"> </w:t>
      </w:r>
    </w:p>
    <w:p w14:paraId="21281723" w14:textId="7EE09127" w:rsidR="007A3B40" w:rsidRPr="00935C7F" w:rsidRDefault="007A3B40" w:rsidP="00686421">
      <w:pPr>
        <w:spacing w:after="0"/>
        <w:ind w:firstLine="426"/>
        <w:jc w:val="both"/>
        <w:rPr>
          <w:rFonts w:ascii="Times New Roman" w:eastAsia="Times New Roman" w:hAnsi="Times New Roman" w:cs="Times New Roman"/>
          <w:sz w:val="24"/>
          <w:szCs w:val="24"/>
          <w:lang w:val="id-ID"/>
        </w:rPr>
      </w:pPr>
      <w:r w:rsidRPr="00935C7F">
        <w:rPr>
          <w:rFonts w:ascii="Times New Roman" w:eastAsia="Times New Roman" w:hAnsi="Times New Roman" w:cs="Times New Roman"/>
          <w:sz w:val="24"/>
          <w:szCs w:val="24"/>
          <w:lang w:val="id-ID"/>
        </w:rPr>
        <w:t>This study employs a quantitative research design aimed at investigating the relationship between Key Audit Matters (</w:t>
      </w:r>
      <w:r w:rsidR="00BE4252" w:rsidRPr="00935C7F">
        <w:rPr>
          <w:rFonts w:ascii="Times New Roman" w:eastAsia="Times New Roman" w:hAnsi="Times New Roman" w:cs="Times New Roman"/>
          <w:sz w:val="24"/>
          <w:szCs w:val="24"/>
          <w:lang w:val="id-ID"/>
        </w:rPr>
        <w:t>KAM</w:t>
      </w:r>
      <w:r w:rsidRPr="00935C7F">
        <w:rPr>
          <w:rFonts w:ascii="Times New Roman" w:eastAsia="Times New Roman" w:hAnsi="Times New Roman" w:cs="Times New Roman"/>
          <w:sz w:val="24"/>
          <w:szCs w:val="24"/>
          <w:lang w:val="id-ID"/>
        </w:rPr>
        <w:t xml:space="preserve">) disclosures and investment risk for </w:t>
      </w:r>
      <w:r w:rsidR="00AB0CF1" w:rsidRPr="00935C7F">
        <w:rPr>
          <w:rFonts w:ascii="Times New Roman" w:eastAsia="Times New Roman" w:hAnsi="Times New Roman" w:cs="Times New Roman"/>
          <w:sz w:val="24"/>
          <w:szCs w:val="24"/>
          <w:lang w:val="id-ID"/>
        </w:rPr>
        <w:t>firms</w:t>
      </w:r>
      <w:r w:rsidRPr="00935C7F">
        <w:rPr>
          <w:rFonts w:ascii="Times New Roman" w:eastAsia="Times New Roman" w:hAnsi="Times New Roman" w:cs="Times New Roman"/>
          <w:sz w:val="24"/>
          <w:szCs w:val="24"/>
          <w:lang w:val="id-ID"/>
        </w:rPr>
        <w:t xml:space="preserve"> listed on the Indonesia Stock Exchange (IDX) during the 2022-2023 period. </w:t>
      </w:r>
      <w:r w:rsidR="00D158E4" w:rsidRPr="00935C7F">
        <w:rPr>
          <w:rFonts w:ascii="Times New Roman" w:eastAsia="Times New Roman" w:hAnsi="Times New Roman" w:cs="Times New Roman"/>
          <w:sz w:val="24"/>
          <w:szCs w:val="24"/>
        </w:rPr>
        <w:t>Th</w:t>
      </w:r>
      <w:r w:rsidR="00706D1A">
        <w:rPr>
          <w:rFonts w:ascii="Times New Roman" w:eastAsia="Times New Roman" w:hAnsi="Times New Roman" w:cs="Times New Roman"/>
          <w:sz w:val="24"/>
          <w:szCs w:val="24"/>
        </w:rPr>
        <w:t>is</w:t>
      </w:r>
      <w:r w:rsidR="00D158E4" w:rsidRPr="00935C7F">
        <w:rPr>
          <w:rFonts w:ascii="Times New Roman" w:eastAsia="Times New Roman" w:hAnsi="Times New Roman" w:cs="Times New Roman"/>
          <w:sz w:val="24"/>
          <w:szCs w:val="24"/>
        </w:rPr>
        <w:t xml:space="preserve"> period aligns with the initial implementation of SA 701 in Indonesia. Crucially, this research examines the entire population of Indonesian publicly listed firms across all market sectors, thereby eliminating sampling gaps and providing definitive baseline data for future studies. </w:t>
      </w:r>
      <w:r w:rsidRPr="00935C7F">
        <w:rPr>
          <w:rFonts w:ascii="Times New Roman" w:eastAsia="Times New Roman" w:hAnsi="Times New Roman" w:cs="Times New Roman"/>
          <w:sz w:val="24"/>
          <w:szCs w:val="24"/>
          <w:lang w:val="id-ID"/>
        </w:rPr>
        <w:t xml:space="preserve">The primary focus of the research is to examine whether the level and quality of KAM disclosures have any significant impact on reducing investment risk. Given the increasing reliance on transparency in corporate governance and reporting, it is essential to assess how KAM disclosures, which highlight critical audit matters and significant risks in a company's financial statements, might influence the risk perception of investors. The research utilizes a cross-sectional approach, meaning that the data is gathered from companies at a single point in time over </w:t>
      </w:r>
      <w:r w:rsidR="00706D1A">
        <w:rPr>
          <w:rFonts w:ascii="Times New Roman" w:eastAsia="Times New Roman" w:hAnsi="Times New Roman" w:cs="Times New Roman"/>
          <w:sz w:val="24"/>
          <w:szCs w:val="24"/>
          <w:lang w:val="id-ID"/>
        </w:rPr>
        <w:t>two years</w:t>
      </w:r>
      <w:r w:rsidRPr="00935C7F">
        <w:rPr>
          <w:rFonts w:ascii="Times New Roman" w:eastAsia="Times New Roman" w:hAnsi="Times New Roman" w:cs="Times New Roman"/>
          <w:sz w:val="24"/>
          <w:szCs w:val="24"/>
          <w:lang w:val="id-ID"/>
        </w:rPr>
        <w:t xml:space="preserve"> (2022-2023). </w:t>
      </w:r>
      <w:r w:rsidR="007A0399" w:rsidRPr="00935C7F">
        <w:rPr>
          <w:rFonts w:ascii="Times New Roman" w:eastAsia="Times New Roman" w:hAnsi="Times New Roman" w:cs="Times New Roman"/>
          <w:sz w:val="24"/>
          <w:szCs w:val="24"/>
          <w:lang w:val="id-ID"/>
        </w:rPr>
        <w:t xml:space="preserve">This study uses the ordinary least square (OLS) regression method to test the research hypothesis. </w:t>
      </w:r>
      <w:r w:rsidRPr="00935C7F">
        <w:rPr>
          <w:rFonts w:ascii="Times New Roman" w:eastAsia="Times New Roman" w:hAnsi="Times New Roman" w:cs="Times New Roman"/>
          <w:sz w:val="24"/>
          <w:szCs w:val="24"/>
          <w:lang w:val="id-ID"/>
        </w:rPr>
        <w:t>This approach allows for an in-depth analysis of the relationship between KAM disclosures and investment risk within a specific timeframe, capturing how these disclosures might influence investors' behavior, perceptions, and decision-making in the short term.</w:t>
      </w:r>
    </w:p>
    <w:p w14:paraId="6952906C" w14:textId="18ADC9E9" w:rsidR="007A3B40" w:rsidRDefault="007A3B40" w:rsidP="00686421">
      <w:pPr>
        <w:spacing w:after="0"/>
        <w:ind w:firstLine="426"/>
        <w:jc w:val="both"/>
        <w:rPr>
          <w:rFonts w:ascii="Times New Roman" w:eastAsia="Times New Roman" w:hAnsi="Times New Roman" w:cs="Times New Roman"/>
          <w:sz w:val="24"/>
          <w:szCs w:val="24"/>
          <w:lang w:val="id-ID"/>
        </w:rPr>
      </w:pPr>
      <w:r w:rsidRPr="00935C7F">
        <w:rPr>
          <w:rFonts w:ascii="Times New Roman" w:eastAsia="Times New Roman" w:hAnsi="Times New Roman" w:cs="Times New Roman"/>
          <w:sz w:val="24"/>
          <w:szCs w:val="24"/>
        </w:rPr>
        <w:t xml:space="preserve">The population for this study consists of all </w:t>
      </w:r>
      <w:r w:rsidR="00AB0CF1" w:rsidRPr="00935C7F">
        <w:rPr>
          <w:rFonts w:ascii="Times New Roman" w:eastAsia="Times New Roman" w:hAnsi="Times New Roman" w:cs="Times New Roman"/>
          <w:sz w:val="24"/>
          <w:szCs w:val="24"/>
        </w:rPr>
        <w:t>firms</w:t>
      </w:r>
      <w:r w:rsidRPr="00935C7F">
        <w:rPr>
          <w:rFonts w:ascii="Times New Roman" w:eastAsia="Times New Roman" w:hAnsi="Times New Roman" w:cs="Times New Roman"/>
          <w:sz w:val="24"/>
          <w:szCs w:val="24"/>
        </w:rPr>
        <w:t xml:space="preserve"> listed on the Indonesia Stock Exchange (IDX) during the years 2022 and 2023. In total, there are 951 companies on the exchange during this period. To select the sample, purposive sampling was applied, which is a non-probability sampling technique where the researcher selects specific cases that meet predefined criteria relevant to the research objectives. The criteria for purposive sampling in this study are as follows:</w:t>
      </w:r>
    </w:p>
    <w:p w14:paraId="63838762" w14:textId="77777777" w:rsidR="00F70DDB" w:rsidRDefault="00F70DDB" w:rsidP="00686421">
      <w:pPr>
        <w:spacing w:after="0"/>
        <w:ind w:firstLine="426"/>
        <w:jc w:val="both"/>
        <w:rPr>
          <w:rFonts w:ascii="Times New Roman" w:eastAsia="Times New Roman" w:hAnsi="Times New Roman" w:cs="Times New Roman"/>
          <w:sz w:val="24"/>
          <w:szCs w:val="24"/>
          <w:lang w:val="id-ID"/>
        </w:rPr>
      </w:pPr>
    </w:p>
    <w:p w14:paraId="47ED9B69" w14:textId="77777777" w:rsidR="00F70DDB" w:rsidRPr="00F70DDB" w:rsidRDefault="00F70DDB" w:rsidP="00686421">
      <w:pPr>
        <w:spacing w:after="0"/>
        <w:ind w:firstLine="426"/>
        <w:jc w:val="both"/>
        <w:rPr>
          <w:rFonts w:ascii="Times New Roman" w:eastAsia="Times New Roman" w:hAnsi="Times New Roman" w:cs="Times New Roman"/>
          <w:sz w:val="24"/>
          <w:szCs w:val="24"/>
          <w:lang w:val="id-ID"/>
        </w:rPr>
      </w:pPr>
    </w:p>
    <w:p w14:paraId="1F7B6909" w14:textId="709CBA9D" w:rsidR="007A3B40" w:rsidRPr="00935C7F" w:rsidRDefault="007A3B40" w:rsidP="00686421">
      <w:pPr>
        <w:numPr>
          <w:ilvl w:val="0"/>
          <w:numId w:val="2"/>
        </w:numPr>
        <w:spacing w:after="0"/>
        <w:ind w:leftChars="162" w:left="630" w:hangingChars="114" w:hanging="274"/>
        <w:jc w:val="both"/>
        <w:rPr>
          <w:rFonts w:ascii="Times New Roman" w:eastAsia="Times New Roman" w:hAnsi="Times New Roman" w:cs="Times New Roman"/>
          <w:sz w:val="24"/>
          <w:szCs w:val="24"/>
        </w:rPr>
      </w:pPr>
      <w:r w:rsidRPr="00935C7F">
        <w:rPr>
          <w:rFonts w:ascii="Times New Roman" w:eastAsia="Times New Roman" w:hAnsi="Times New Roman" w:cs="Times New Roman"/>
          <w:sz w:val="24"/>
          <w:szCs w:val="24"/>
        </w:rPr>
        <w:lastRenderedPageBreak/>
        <w:t>Availabi</w:t>
      </w:r>
      <w:r w:rsidR="00EE4770">
        <w:rPr>
          <w:rFonts w:ascii="Times New Roman" w:eastAsia="Times New Roman" w:hAnsi="Times New Roman" w:cs="Times New Roman"/>
          <w:sz w:val="24"/>
          <w:szCs w:val="24"/>
        </w:rPr>
        <w:t xml:space="preserve">lity of </w:t>
      </w:r>
      <w:r w:rsidR="00EE4770">
        <w:rPr>
          <w:rFonts w:ascii="Times New Roman" w:eastAsia="Times New Roman" w:hAnsi="Times New Roman" w:cs="Times New Roman"/>
          <w:sz w:val="24"/>
          <w:szCs w:val="24"/>
          <w:lang w:val="id-ID"/>
        </w:rPr>
        <w:t>a</w:t>
      </w:r>
      <w:r w:rsidR="00EE4770">
        <w:rPr>
          <w:rFonts w:ascii="Times New Roman" w:eastAsia="Times New Roman" w:hAnsi="Times New Roman" w:cs="Times New Roman"/>
          <w:sz w:val="24"/>
          <w:szCs w:val="24"/>
        </w:rPr>
        <w:t xml:space="preserve">udit </w:t>
      </w:r>
      <w:r w:rsidR="00EE4770">
        <w:rPr>
          <w:rFonts w:ascii="Times New Roman" w:eastAsia="Times New Roman" w:hAnsi="Times New Roman" w:cs="Times New Roman"/>
          <w:sz w:val="24"/>
          <w:szCs w:val="24"/>
          <w:lang w:val="id-ID"/>
        </w:rPr>
        <w:t>r</w:t>
      </w:r>
      <w:r w:rsidRPr="00935C7F">
        <w:rPr>
          <w:rFonts w:ascii="Times New Roman" w:eastAsia="Times New Roman" w:hAnsi="Times New Roman" w:cs="Times New Roman"/>
          <w:sz w:val="24"/>
          <w:szCs w:val="24"/>
        </w:rPr>
        <w:t>eports for 2022 and 2023</w:t>
      </w:r>
    </w:p>
    <w:p w14:paraId="5C794407" w14:textId="260A34EA" w:rsidR="007A3B40" w:rsidRPr="00935C7F" w:rsidRDefault="00EE4770" w:rsidP="00686421">
      <w:pPr>
        <w:numPr>
          <w:ilvl w:val="0"/>
          <w:numId w:val="2"/>
        </w:numPr>
        <w:spacing w:after="0"/>
        <w:ind w:leftChars="162" w:left="630" w:hangingChars="114" w:hanging="2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Availability of </w:t>
      </w:r>
      <w:r>
        <w:rPr>
          <w:rFonts w:ascii="Times New Roman" w:eastAsia="Times New Roman" w:hAnsi="Times New Roman" w:cs="Times New Roman"/>
          <w:sz w:val="24"/>
          <w:szCs w:val="24"/>
          <w:lang w:val="id-ID"/>
        </w:rPr>
        <w:t>s</w:t>
      </w:r>
      <w:r>
        <w:rPr>
          <w:rFonts w:ascii="Times New Roman" w:eastAsia="Times New Roman" w:hAnsi="Times New Roman" w:cs="Times New Roman"/>
          <w:sz w:val="24"/>
          <w:szCs w:val="24"/>
        </w:rPr>
        <w:t xml:space="preserve">tock </w:t>
      </w:r>
      <w:r>
        <w:rPr>
          <w:rFonts w:ascii="Times New Roman" w:eastAsia="Times New Roman" w:hAnsi="Times New Roman" w:cs="Times New Roman"/>
          <w:sz w:val="24"/>
          <w:szCs w:val="24"/>
          <w:lang w:val="id-ID"/>
        </w:rPr>
        <w:t>d</w:t>
      </w:r>
      <w:r w:rsidR="007A3B40" w:rsidRPr="00935C7F">
        <w:rPr>
          <w:rFonts w:ascii="Times New Roman" w:eastAsia="Times New Roman" w:hAnsi="Times New Roman" w:cs="Times New Roman"/>
          <w:sz w:val="24"/>
          <w:szCs w:val="24"/>
        </w:rPr>
        <w:t>ata for 2022 and 2023</w:t>
      </w:r>
    </w:p>
    <w:p w14:paraId="33339E81" w14:textId="07763B23" w:rsidR="007A3B40" w:rsidRPr="00935C7F" w:rsidRDefault="00EE4770" w:rsidP="00686421">
      <w:pPr>
        <w:numPr>
          <w:ilvl w:val="0"/>
          <w:numId w:val="2"/>
        </w:numPr>
        <w:spacing w:after="0"/>
        <w:ind w:leftChars="162" w:left="630" w:hangingChars="114" w:hanging="2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Completeness of </w:t>
      </w:r>
      <w:r>
        <w:rPr>
          <w:rFonts w:ascii="Times New Roman" w:eastAsia="Times New Roman" w:hAnsi="Times New Roman" w:cs="Times New Roman"/>
          <w:sz w:val="24"/>
          <w:szCs w:val="24"/>
          <w:lang w:val="id-ID"/>
        </w:rPr>
        <w:t>s</w:t>
      </w:r>
      <w:r>
        <w:rPr>
          <w:rFonts w:ascii="Times New Roman" w:eastAsia="Times New Roman" w:hAnsi="Times New Roman" w:cs="Times New Roman"/>
          <w:sz w:val="24"/>
          <w:szCs w:val="24"/>
        </w:rPr>
        <w:t xml:space="preserve">tock </w:t>
      </w:r>
      <w:r>
        <w:rPr>
          <w:rFonts w:ascii="Times New Roman" w:eastAsia="Times New Roman" w:hAnsi="Times New Roman" w:cs="Times New Roman"/>
          <w:sz w:val="24"/>
          <w:szCs w:val="24"/>
          <w:lang w:val="id-ID"/>
        </w:rPr>
        <w:t>d</w:t>
      </w:r>
      <w:r w:rsidR="007A3B40" w:rsidRPr="00935C7F">
        <w:rPr>
          <w:rFonts w:ascii="Times New Roman" w:eastAsia="Times New Roman" w:hAnsi="Times New Roman" w:cs="Times New Roman"/>
          <w:sz w:val="24"/>
          <w:szCs w:val="24"/>
        </w:rPr>
        <w:t>ata (stock price available for minimum 6-month data)</w:t>
      </w:r>
    </w:p>
    <w:p w14:paraId="5E548C29" w14:textId="47B00F6C" w:rsidR="007A3B40" w:rsidRPr="00935C7F" w:rsidRDefault="00EE4770" w:rsidP="00686421">
      <w:pPr>
        <w:numPr>
          <w:ilvl w:val="0"/>
          <w:numId w:val="2"/>
        </w:numPr>
        <w:spacing w:after="0"/>
        <w:ind w:leftChars="162" w:left="630" w:hangingChars="114" w:hanging="2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Average </w:t>
      </w:r>
      <w:r>
        <w:rPr>
          <w:rFonts w:ascii="Times New Roman" w:eastAsia="Times New Roman" w:hAnsi="Times New Roman" w:cs="Times New Roman"/>
          <w:sz w:val="24"/>
          <w:szCs w:val="24"/>
          <w:lang w:val="id-ID"/>
        </w:rPr>
        <w:t>a</w:t>
      </w:r>
      <w:r>
        <w:rPr>
          <w:rFonts w:ascii="Times New Roman" w:eastAsia="Times New Roman" w:hAnsi="Times New Roman" w:cs="Times New Roman"/>
          <w:sz w:val="24"/>
          <w:szCs w:val="24"/>
        </w:rPr>
        <w:t xml:space="preserve">nnual </w:t>
      </w:r>
      <w:r>
        <w:rPr>
          <w:rFonts w:ascii="Times New Roman" w:eastAsia="Times New Roman" w:hAnsi="Times New Roman" w:cs="Times New Roman"/>
          <w:sz w:val="24"/>
          <w:szCs w:val="24"/>
          <w:lang w:val="id-ID"/>
        </w:rPr>
        <w:t>s</w:t>
      </w:r>
      <w:r>
        <w:rPr>
          <w:rFonts w:ascii="Times New Roman" w:eastAsia="Times New Roman" w:hAnsi="Times New Roman" w:cs="Times New Roman"/>
          <w:sz w:val="24"/>
          <w:szCs w:val="24"/>
        </w:rPr>
        <w:t xml:space="preserve">tock </w:t>
      </w:r>
      <w:r>
        <w:rPr>
          <w:rFonts w:ascii="Times New Roman" w:eastAsia="Times New Roman" w:hAnsi="Times New Roman" w:cs="Times New Roman"/>
          <w:sz w:val="24"/>
          <w:szCs w:val="24"/>
          <w:lang w:val="id-ID"/>
        </w:rPr>
        <w:t>p</w:t>
      </w:r>
      <w:r w:rsidR="007A3B40" w:rsidRPr="00935C7F">
        <w:rPr>
          <w:rFonts w:ascii="Times New Roman" w:eastAsia="Times New Roman" w:hAnsi="Times New Roman" w:cs="Times New Roman"/>
          <w:sz w:val="24"/>
          <w:szCs w:val="24"/>
        </w:rPr>
        <w:t>rice is more than 55 (</w:t>
      </w:r>
      <w:r w:rsidR="00337F23" w:rsidRPr="00337F23">
        <w:rPr>
          <w:rFonts w:ascii="Times New Roman" w:eastAsia="Times New Roman" w:hAnsi="Times New Roman" w:cs="Times New Roman"/>
          <w:sz w:val="24"/>
          <w:szCs w:val="24"/>
        </w:rPr>
        <w:t>to ensure sufficient stock price variability</w:t>
      </w:r>
      <w:r w:rsidR="007A3B40" w:rsidRPr="00935C7F">
        <w:rPr>
          <w:rFonts w:ascii="Times New Roman" w:eastAsia="Times New Roman" w:hAnsi="Times New Roman" w:cs="Times New Roman"/>
          <w:sz w:val="24"/>
          <w:szCs w:val="24"/>
        </w:rPr>
        <w:t>)</w:t>
      </w:r>
      <w:r w:rsidR="00356543">
        <w:rPr>
          <w:rFonts w:ascii="Times New Roman" w:eastAsia="Times New Roman" w:hAnsi="Times New Roman" w:cs="Times New Roman"/>
          <w:sz w:val="24"/>
          <w:szCs w:val="24"/>
          <w:lang w:val="id-ID"/>
        </w:rPr>
        <w:t>.</w:t>
      </w:r>
    </w:p>
    <w:p w14:paraId="04A723AC" w14:textId="77777777" w:rsidR="00606A0C" w:rsidRDefault="00606A0C" w:rsidP="00686421">
      <w:pPr>
        <w:spacing w:after="0"/>
        <w:ind w:firstLine="426"/>
        <w:jc w:val="center"/>
        <w:rPr>
          <w:rFonts w:ascii="Times New Roman" w:eastAsia="Times New Roman" w:hAnsi="Times New Roman" w:cs="Times New Roman"/>
          <w:b/>
          <w:bCs/>
          <w:sz w:val="24"/>
          <w:szCs w:val="24"/>
          <w:lang w:val="id-ID"/>
        </w:rPr>
      </w:pPr>
    </w:p>
    <w:p w14:paraId="099D9B63" w14:textId="60DA699E" w:rsidR="00A61532" w:rsidRPr="00606A0C" w:rsidRDefault="00A61532" w:rsidP="00686421">
      <w:pPr>
        <w:spacing w:after="0"/>
        <w:ind w:firstLine="426"/>
        <w:jc w:val="center"/>
        <w:rPr>
          <w:rFonts w:ascii="Times New Roman" w:eastAsia="Times New Roman" w:hAnsi="Times New Roman" w:cs="Times New Roman"/>
          <w:b/>
          <w:bCs/>
          <w:sz w:val="24"/>
          <w:szCs w:val="24"/>
        </w:rPr>
      </w:pPr>
      <w:r w:rsidRPr="00606A0C">
        <w:rPr>
          <w:rFonts w:ascii="Times New Roman" w:eastAsia="Times New Roman" w:hAnsi="Times New Roman" w:cs="Times New Roman"/>
          <w:b/>
          <w:bCs/>
          <w:sz w:val="24"/>
          <w:szCs w:val="24"/>
        </w:rPr>
        <w:t>Table 1</w:t>
      </w:r>
      <w:r w:rsidR="00606A0C" w:rsidRPr="00606A0C">
        <w:rPr>
          <w:rFonts w:ascii="Times New Roman" w:eastAsia="Times New Roman" w:hAnsi="Times New Roman" w:cs="Times New Roman"/>
          <w:b/>
          <w:bCs/>
          <w:sz w:val="24"/>
          <w:szCs w:val="24"/>
          <w:lang w:val="id-ID"/>
        </w:rPr>
        <w:t xml:space="preserve">. </w:t>
      </w:r>
      <w:r w:rsidR="00606A0C" w:rsidRPr="00606A0C">
        <w:rPr>
          <w:rFonts w:ascii="Times New Roman" w:eastAsia="Times New Roman" w:hAnsi="Times New Roman" w:cs="Times New Roman"/>
          <w:b/>
          <w:bCs/>
          <w:sz w:val="24"/>
          <w:szCs w:val="24"/>
        </w:rPr>
        <w:t xml:space="preserve">Sampling Selection </w:t>
      </w:r>
    </w:p>
    <w:tbl>
      <w:tblPr>
        <w:tblStyle w:val="TableGrid"/>
        <w:tblW w:w="810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4497"/>
        <w:gridCol w:w="1843"/>
        <w:gridCol w:w="1254"/>
      </w:tblGrid>
      <w:tr w:rsidR="00A61532" w:rsidRPr="00935C7F" w14:paraId="50DCAC32" w14:textId="77777777" w:rsidTr="00C27AA2">
        <w:trPr>
          <w:trHeight w:val="451"/>
          <w:jc w:val="center"/>
        </w:trPr>
        <w:tc>
          <w:tcPr>
            <w:tcW w:w="513" w:type="dxa"/>
            <w:tcBorders>
              <w:top w:val="single" w:sz="4" w:space="0" w:color="auto"/>
              <w:bottom w:val="single" w:sz="4" w:space="0" w:color="auto"/>
            </w:tcBorders>
            <w:noWrap/>
            <w:vAlign w:val="center"/>
            <w:hideMark/>
          </w:tcPr>
          <w:p w14:paraId="7E5EEB9E" w14:textId="77777777" w:rsidR="00A61532" w:rsidRPr="00606A0C" w:rsidRDefault="00A61532" w:rsidP="008D480F">
            <w:pPr>
              <w:spacing w:line="276" w:lineRule="auto"/>
              <w:ind w:left="-2"/>
              <w:jc w:val="center"/>
              <w:rPr>
                <w:rFonts w:ascii="Times New Roman" w:hAnsi="Times New Roman" w:cs="Times New Roman"/>
                <w:b/>
                <w:bCs/>
              </w:rPr>
            </w:pPr>
            <w:r w:rsidRPr="00606A0C">
              <w:rPr>
                <w:rFonts w:ascii="Times New Roman" w:hAnsi="Times New Roman" w:cs="Times New Roman"/>
                <w:b/>
                <w:bCs/>
              </w:rPr>
              <w:t>No</w:t>
            </w:r>
          </w:p>
        </w:tc>
        <w:tc>
          <w:tcPr>
            <w:tcW w:w="4497" w:type="dxa"/>
            <w:tcBorders>
              <w:top w:val="single" w:sz="4" w:space="0" w:color="auto"/>
              <w:bottom w:val="single" w:sz="4" w:space="0" w:color="auto"/>
            </w:tcBorders>
            <w:vAlign w:val="center"/>
            <w:hideMark/>
          </w:tcPr>
          <w:p w14:paraId="1A82179E" w14:textId="77777777" w:rsidR="00A61532" w:rsidRPr="00606A0C" w:rsidRDefault="00A61532" w:rsidP="00C27AA2">
            <w:pPr>
              <w:spacing w:line="276" w:lineRule="auto"/>
              <w:ind w:left="-2"/>
              <w:rPr>
                <w:rFonts w:ascii="Times New Roman" w:hAnsi="Times New Roman" w:cs="Times New Roman"/>
                <w:b/>
                <w:bCs/>
              </w:rPr>
            </w:pPr>
            <w:r w:rsidRPr="00606A0C">
              <w:rPr>
                <w:rFonts w:ascii="Times New Roman" w:hAnsi="Times New Roman" w:cs="Times New Roman"/>
                <w:b/>
                <w:bCs/>
              </w:rPr>
              <w:t>Criteria</w:t>
            </w:r>
          </w:p>
        </w:tc>
        <w:tc>
          <w:tcPr>
            <w:tcW w:w="1843" w:type="dxa"/>
            <w:tcBorders>
              <w:top w:val="single" w:sz="4" w:space="0" w:color="auto"/>
              <w:bottom w:val="single" w:sz="4" w:space="0" w:color="auto"/>
            </w:tcBorders>
            <w:vAlign w:val="center"/>
            <w:hideMark/>
          </w:tcPr>
          <w:p w14:paraId="0BD0CEC2" w14:textId="77777777" w:rsidR="00A61532" w:rsidRPr="00606A0C" w:rsidRDefault="00A61532" w:rsidP="00C27AA2">
            <w:pPr>
              <w:spacing w:line="276" w:lineRule="auto"/>
              <w:ind w:left="-2"/>
              <w:jc w:val="right"/>
              <w:rPr>
                <w:rFonts w:ascii="Times New Roman" w:hAnsi="Times New Roman" w:cs="Times New Roman"/>
                <w:b/>
                <w:bCs/>
              </w:rPr>
            </w:pPr>
            <w:r w:rsidRPr="00606A0C">
              <w:rPr>
                <w:rFonts w:ascii="Times New Roman" w:hAnsi="Times New Roman" w:cs="Times New Roman"/>
                <w:b/>
                <w:bCs/>
              </w:rPr>
              <w:t>Number of Sample Excluded</w:t>
            </w:r>
          </w:p>
        </w:tc>
        <w:tc>
          <w:tcPr>
            <w:tcW w:w="1254" w:type="dxa"/>
            <w:tcBorders>
              <w:top w:val="single" w:sz="4" w:space="0" w:color="auto"/>
              <w:bottom w:val="single" w:sz="4" w:space="0" w:color="auto"/>
            </w:tcBorders>
            <w:vAlign w:val="center"/>
            <w:hideMark/>
          </w:tcPr>
          <w:p w14:paraId="6498B174" w14:textId="77777777" w:rsidR="00A61532" w:rsidRPr="00606A0C" w:rsidRDefault="00A61532" w:rsidP="00C27AA2">
            <w:pPr>
              <w:spacing w:line="276" w:lineRule="auto"/>
              <w:ind w:left="-2"/>
              <w:jc w:val="right"/>
              <w:rPr>
                <w:rFonts w:ascii="Times New Roman" w:hAnsi="Times New Roman" w:cs="Times New Roman"/>
                <w:b/>
                <w:bCs/>
              </w:rPr>
            </w:pPr>
            <w:r w:rsidRPr="00606A0C">
              <w:rPr>
                <w:rFonts w:ascii="Times New Roman" w:hAnsi="Times New Roman" w:cs="Times New Roman"/>
                <w:b/>
                <w:bCs/>
              </w:rPr>
              <w:t>Remaining Sample</w:t>
            </w:r>
          </w:p>
        </w:tc>
      </w:tr>
      <w:tr w:rsidR="00A61532" w:rsidRPr="00935C7F" w14:paraId="6F77EF7A" w14:textId="77777777" w:rsidTr="00C27AA2">
        <w:trPr>
          <w:trHeight w:val="159"/>
          <w:jc w:val="center"/>
        </w:trPr>
        <w:tc>
          <w:tcPr>
            <w:tcW w:w="513" w:type="dxa"/>
            <w:tcBorders>
              <w:top w:val="single" w:sz="4" w:space="0" w:color="auto"/>
            </w:tcBorders>
            <w:noWrap/>
            <w:hideMark/>
          </w:tcPr>
          <w:p w14:paraId="3CC6DA13" w14:textId="725AAB34" w:rsidR="00A61532" w:rsidRPr="00606A0C" w:rsidRDefault="00A61532" w:rsidP="00686421">
            <w:pPr>
              <w:spacing w:line="276" w:lineRule="auto"/>
              <w:ind w:left="-2"/>
              <w:jc w:val="center"/>
              <w:rPr>
                <w:rFonts w:ascii="Times New Roman" w:hAnsi="Times New Roman" w:cs="Times New Roman"/>
              </w:rPr>
            </w:pPr>
            <w:r w:rsidRPr="00606A0C">
              <w:rPr>
                <w:rFonts w:ascii="Times New Roman" w:hAnsi="Times New Roman" w:cs="Times New Roman"/>
              </w:rPr>
              <w:t>1</w:t>
            </w:r>
            <w:r w:rsidR="00606A0C">
              <w:rPr>
                <w:rFonts w:ascii="Times New Roman" w:hAnsi="Times New Roman" w:cs="Times New Roman"/>
              </w:rPr>
              <w:t>.</w:t>
            </w:r>
          </w:p>
        </w:tc>
        <w:tc>
          <w:tcPr>
            <w:tcW w:w="4497" w:type="dxa"/>
            <w:tcBorders>
              <w:top w:val="single" w:sz="4" w:space="0" w:color="auto"/>
            </w:tcBorders>
            <w:hideMark/>
          </w:tcPr>
          <w:p w14:paraId="33A8D190" w14:textId="77777777" w:rsidR="00A61532" w:rsidRPr="00606A0C" w:rsidRDefault="00A61532" w:rsidP="00686421">
            <w:pPr>
              <w:spacing w:line="276" w:lineRule="auto"/>
              <w:ind w:left="-2"/>
              <w:rPr>
                <w:rFonts w:ascii="Times New Roman" w:hAnsi="Times New Roman" w:cs="Times New Roman"/>
              </w:rPr>
            </w:pPr>
            <w:r w:rsidRPr="00606A0C">
              <w:rPr>
                <w:rFonts w:ascii="Times New Roman" w:hAnsi="Times New Roman" w:cs="Times New Roman"/>
              </w:rPr>
              <w:t>Total population (951 firms for two years)</w:t>
            </w:r>
          </w:p>
        </w:tc>
        <w:tc>
          <w:tcPr>
            <w:tcW w:w="1843" w:type="dxa"/>
            <w:tcBorders>
              <w:top w:val="single" w:sz="4" w:space="0" w:color="auto"/>
            </w:tcBorders>
            <w:hideMark/>
          </w:tcPr>
          <w:p w14:paraId="6E7C3FCD" w14:textId="77777777" w:rsidR="00A61532" w:rsidRPr="00606A0C" w:rsidRDefault="00A61532" w:rsidP="00C27AA2">
            <w:pPr>
              <w:spacing w:line="276" w:lineRule="auto"/>
              <w:ind w:left="-2"/>
              <w:jc w:val="right"/>
              <w:rPr>
                <w:rFonts w:ascii="Times New Roman" w:hAnsi="Times New Roman" w:cs="Times New Roman"/>
              </w:rPr>
            </w:pPr>
            <w:r w:rsidRPr="00606A0C">
              <w:rPr>
                <w:rFonts w:ascii="Times New Roman" w:hAnsi="Times New Roman" w:cs="Times New Roman"/>
              </w:rPr>
              <w:t>-</w:t>
            </w:r>
          </w:p>
        </w:tc>
        <w:tc>
          <w:tcPr>
            <w:tcW w:w="1254" w:type="dxa"/>
            <w:tcBorders>
              <w:top w:val="single" w:sz="4" w:space="0" w:color="auto"/>
            </w:tcBorders>
            <w:hideMark/>
          </w:tcPr>
          <w:p w14:paraId="2FA8880C" w14:textId="77777777" w:rsidR="00A61532" w:rsidRPr="00606A0C" w:rsidRDefault="00A61532" w:rsidP="00C27AA2">
            <w:pPr>
              <w:spacing w:line="276" w:lineRule="auto"/>
              <w:ind w:left="-2"/>
              <w:jc w:val="right"/>
              <w:rPr>
                <w:rFonts w:ascii="Times New Roman" w:hAnsi="Times New Roman" w:cs="Times New Roman"/>
              </w:rPr>
            </w:pPr>
            <w:r w:rsidRPr="00606A0C">
              <w:rPr>
                <w:rFonts w:ascii="Times New Roman" w:hAnsi="Times New Roman" w:cs="Times New Roman"/>
              </w:rPr>
              <w:t>1,902</w:t>
            </w:r>
          </w:p>
        </w:tc>
      </w:tr>
      <w:tr w:rsidR="00A61532" w:rsidRPr="00935C7F" w14:paraId="5FD72652" w14:textId="77777777" w:rsidTr="00C27AA2">
        <w:trPr>
          <w:trHeight w:val="21"/>
          <w:jc w:val="center"/>
        </w:trPr>
        <w:tc>
          <w:tcPr>
            <w:tcW w:w="513" w:type="dxa"/>
            <w:noWrap/>
            <w:hideMark/>
          </w:tcPr>
          <w:p w14:paraId="672B0139" w14:textId="1B66F0FD" w:rsidR="00A61532" w:rsidRPr="00606A0C" w:rsidRDefault="00A61532" w:rsidP="00686421">
            <w:pPr>
              <w:spacing w:line="276" w:lineRule="auto"/>
              <w:ind w:left="-2"/>
              <w:jc w:val="center"/>
              <w:rPr>
                <w:rFonts w:ascii="Times New Roman" w:hAnsi="Times New Roman" w:cs="Times New Roman"/>
              </w:rPr>
            </w:pPr>
            <w:r w:rsidRPr="00606A0C">
              <w:rPr>
                <w:rFonts w:ascii="Times New Roman" w:hAnsi="Times New Roman" w:cs="Times New Roman"/>
              </w:rPr>
              <w:t>2</w:t>
            </w:r>
            <w:r w:rsidR="00606A0C">
              <w:rPr>
                <w:rFonts w:ascii="Times New Roman" w:hAnsi="Times New Roman" w:cs="Times New Roman"/>
              </w:rPr>
              <w:t>.</w:t>
            </w:r>
          </w:p>
        </w:tc>
        <w:tc>
          <w:tcPr>
            <w:tcW w:w="4497" w:type="dxa"/>
            <w:hideMark/>
          </w:tcPr>
          <w:p w14:paraId="77DAC2BE" w14:textId="77777777" w:rsidR="00A61532" w:rsidRPr="00606A0C" w:rsidRDefault="00A61532" w:rsidP="00686421">
            <w:pPr>
              <w:spacing w:line="276" w:lineRule="auto"/>
              <w:ind w:left="-2"/>
              <w:rPr>
                <w:rFonts w:ascii="Times New Roman" w:hAnsi="Times New Roman" w:cs="Times New Roman"/>
              </w:rPr>
            </w:pPr>
            <w:r w:rsidRPr="00606A0C">
              <w:rPr>
                <w:rFonts w:ascii="Times New Roman" w:hAnsi="Times New Roman" w:cs="Times New Roman"/>
              </w:rPr>
              <w:t>Excluded due to no audit report for 2022 or/and 2023</w:t>
            </w:r>
          </w:p>
        </w:tc>
        <w:tc>
          <w:tcPr>
            <w:tcW w:w="1843" w:type="dxa"/>
            <w:hideMark/>
          </w:tcPr>
          <w:p w14:paraId="1E6DE777" w14:textId="77777777" w:rsidR="00A61532" w:rsidRPr="00606A0C" w:rsidRDefault="00A61532" w:rsidP="00C27AA2">
            <w:pPr>
              <w:spacing w:line="276" w:lineRule="auto"/>
              <w:ind w:left="-2"/>
              <w:jc w:val="right"/>
              <w:rPr>
                <w:rFonts w:ascii="Times New Roman" w:hAnsi="Times New Roman" w:cs="Times New Roman"/>
              </w:rPr>
            </w:pPr>
            <w:r w:rsidRPr="00606A0C">
              <w:rPr>
                <w:rFonts w:ascii="Times New Roman" w:hAnsi="Times New Roman" w:cs="Times New Roman"/>
              </w:rPr>
              <w:t>238</w:t>
            </w:r>
          </w:p>
        </w:tc>
        <w:tc>
          <w:tcPr>
            <w:tcW w:w="1254" w:type="dxa"/>
            <w:hideMark/>
          </w:tcPr>
          <w:p w14:paraId="79557E31" w14:textId="77777777" w:rsidR="00A61532" w:rsidRPr="00606A0C" w:rsidRDefault="00A61532" w:rsidP="00C27AA2">
            <w:pPr>
              <w:spacing w:line="276" w:lineRule="auto"/>
              <w:ind w:left="-2"/>
              <w:jc w:val="right"/>
              <w:rPr>
                <w:rFonts w:ascii="Times New Roman" w:hAnsi="Times New Roman" w:cs="Times New Roman"/>
              </w:rPr>
            </w:pPr>
            <w:r w:rsidRPr="00606A0C">
              <w:rPr>
                <w:rFonts w:ascii="Times New Roman" w:hAnsi="Times New Roman" w:cs="Times New Roman"/>
              </w:rPr>
              <w:t>1,664</w:t>
            </w:r>
          </w:p>
        </w:tc>
      </w:tr>
      <w:tr w:rsidR="00A61532" w:rsidRPr="00935C7F" w14:paraId="28D22949" w14:textId="77777777" w:rsidTr="00C27AA2">
        <w:trPr>
          <w:trHeight w:val="21"/>
          <w:jc w:val="center"/>
        </w:trPr>
        <w:tc>
          <w:tcPr>
            <w:tcW w:w="513" w:type="dxa"/>
            <w:noWrap/>
            <w:hideMark/>
          </w:tcPr>
          <w:p w14:paraId="5BE5EFD4" w14:textId="5737E091" w:rsidR="00A61532" w:rsidRPr="00606A0C" w:rsidRDefault="00A61532" w:rsidP="00686421">
            <w:pPr>
              <w:spacing w:line="276" w:lineRule="auto"/>
              <w:ind w:left="-2"/>
              <w:jc w:val="center"/>
              <w:rPr>
                <w:rFonts w:ascii="Times New Roman" w:hAnsi="Times New Roman" w:cs="Times New Roman"/>
              </w:rPr>
            </w:pPr>
            <w:r w:rsidRPr="00606A0C">
              <w:rPr>
                <w:rFonts w:ascii="Times New Roman" w:hAnsi="Times New Roman" w:cs="Times New Roman"/>
              </w:rPr>
              <w:t>3</w:t>
            </w:r>
            <w:r w:rsidR="00606A0C">
              <w:rPr>
                <w:rFonts w:ascii="Times New Roman" w:hAnsi="Times New Roman" w:cs="Times New Roman"/>
              </w:rPr>
              <w:t>.</w:t>
            </w:r>
          </w:p>
        </w:tc>
        <w:tc>
          <w:tcPr>
            <w:tcW w:w="4497" w:type="dxa"/>
            <w:hideMark/>
          </w:tcPr>
          <w:p w14:paraId="1F2E8244" w14:textId="77777777" w:rsidR="00A61532" w:rsidRPr="00606A0C" w:rsidRDefault="00A61532" w:rsidP="00686421">
            <w:pPr>
              <w:spacing w:line="276" w:lineRule="auto"/>
              <w:ind w:left="-2"/>
              <w:rPr>
                <w:rFonts w:ascii="Times New Roman" w:hAnsi="Times New Roman" w:cs="Times New Roman"/>
              </w:rPr>
            </w:pPr>
            <w:r w:rsidRPr="00606A0C">
              <w:rPr>
                <w:rFonts w:ascii="Times New Roman" w:hAnsi="Times New Roman" w:cs="Times New Roman"/>
              </w:rPr>
              <w:t>Excluded due to no stock data for 2022 or 2023</w:t>
            </w:r>
          </w:p>
        </w:tc>
        <w:tc>
          <w:tcPr>
            <w:tcW w:w="1843" w:type="dxa"/>
            <w:hideMark/>
          </w:tcPr>
          <w:p w14:paraId="564833E8" w14:textId="77777777" w:rsidR="00A61532" w:rsidRPr="00606A0C" w:rsidRDefault="00A61532" w:rsidP="00C27AA2">
            <w:pPr>
              <w:spacing w:line="276" w:lineRule="auto"/>
              <w:ind w:left="-2"/>
              <w:jc w:val="right"/>
              <w:rPr>
                <w:rFonts w:ascii="Times New Roman" w:hAnsi="Times New Roman" w:cs="Times New Roman"/>
              </w:rPr>
            </w:pPr>
            <w:r w:rsidRPr="00606A0C">
              <w:rPr>
                <w:rFonts w:ascii="Times New Roman" w:hAnsi="Times New Roman" w:cs="Times New Roman"/>
              </w:rPr>
              <w:t>77</w:t>
            </w:r>
          </w:p>
        </w:tc>
        <w:tc>
          <w:tcPr>
            <w:tcW w:w="1254" w:type="dxa"/>
            <w:hideMark/>
          </w:tcPr>
          <w:p w14:paraId="2AFC36E1" w14:textId="77777777" w:rsidR="00A61532" w:rsidRPr="00606A0C" w:rsidRDefault="00A61532" w:rsidP="00C27AA2">
            <w:pPr>
              <w:spacing w:line="276" w:lineRule="auto"/>
              <w:ind w:left="-2"/>
              <w:jc w:val="right"/>
              <w:rPr>
                <w:rFonts w:ascii="Times New Roman" w:hAnsi="Times New Roman" w:cs="Times New Roman"/>
              </w:rPr>
            </w:pPr>
            <w:r w:rsidRPr="00606A0C">
              <w:rPr>
                <w:rFonts w:ascii="Times New Roman" w:hAnsi="Times New Roman" w:cs="Times New Roman"/>
              </w:rPr>
              <w:t>1,587</w:t>
            </w:r>
          </w:p>
        </w:tc>
      </w:tr>
      <w:tr w:rsidR="00A61532" w:rsidRPr="00935C7F" w14:paraId="2BECBCE1" w14:textId="77777777" w:rsidTr="00C27AA2">
        <w:trPr>
          <w:trHeight w:val="21"/>
          <w:jc w:val="center"/>
        </w:trPr>
        <w:tc>
          <w:tcPr>
            <w:tcW w:w="513" w:type="dxa"/>
            <w:noWrap/>
            <w:hideMark/>
          </w:tcPr>
          <w:p w14:paraId="21869D4E" w14:textId="15AEFF88" w:rsidR="00A61532" w:rsidRPr="00606A0C" w:rsidRDefault="00A61532" w:rsidP="00686421">
            <w:pPr>
              <w:spacing w:line="276" w:lineRule="auto"/>
              <w:ind w:left="-2"/>
              <w:jc w:val="center"/>
              <w:rPr>
                <w:rFonts w:ascii="Times New Roman" w:hAnsi="Times New Roman" w:cs="Times New Roman"/>
              </w:rPr>
            </w:pPr>
            <w:r w:rsidRPr="00606A0C">
              <w:rPr>
                <w:rFonts w:ascii="Times New Roman" w:hAnsi="Times New Roman" w:cs="Times New Roman"/>
              </w:rPr>
              <w:t>4</w:t>
            </w:r>
            <w:r w:rsidR="00606A0C">
              <w:rPr>
                <w:rFonts w:ascii="Times New Roman" w:hAnsi="Times New Roman" w:cs="Times New Roman"/>
              </w:rPr>
              <w:t>.</w:t>
            </w:r>
          </w:p>
        </w:tc>
        <w:tc>
          <w:tcPr>
            <w:tcW w:w="4497" w:type="dxa"/>
            <w:hideMark/>
          </w:tcPr>
          <w:p w14:paraId="444D6D43" w14:textId="77777777" w:rsidR="00A61532" w:rsidRPr="00606A0C" w:rsidRDefault="00A61532" w:rsidP="00686421">
            <w:pPr>
              <w:spacing w:line="276" w:lineRule="auto"/>
              <w:ind w:left="-2"/>
              <w:rPr>
                <w:rFonts w:ascii="Times New Roman" w:hAnsi="Times New Roman" w:cs="Times New Roman"/>
              </w:rPr>
            </w:pPr>
            <w:r w:rsidRPr="00606A0C">
              <w:rPr>
                <w:rFonts w:ascii="Times New Roman" w:hAnsi="Times New Roman" w:cs="Times New Roman"/>
              </w:rPr>
              <w:t>Excluded due to incomplete stock data for 2022 and 2023</w:t>
            </w:r>
          </w:p>
        </w:tc>
        <w:tc>
          <w:tcPr>
            <w:tcW w:w="1843" w:type="dxa"/>
            <w:hideMark/>
          </w:tcPr>
          <w:p w14:paraId="69657875" w14:textId="77777777" w:rsidR="00A61532" w:rsidRPr="00606A0C" w:rsidRDefault="00A61532" w:rsidP="00C27AA2">
            <w:pPr>
              <w:spacing w:line="276" w:lineRule="auto"/>
              <w:ind w:left="-2"/>
              <w:jc w:val="right"/>
              <w:rPr>
                <w:rFonts w:ascii="Times New Roman" w:hAnsi="Times New Roman" w:cs="Times New Roman"/>
              </w:rPr>
            </w:pPr>
            <w:r w:rsidRPr="00606A0C">
              <w:rPr>
                <w:rFonts w:ascii="Times New Roman" w:hAnsi="Times New Roman" w:cs="Times New Roman"/>
              </w:rPr>
              <w:t>93</w:t>
            </w:r>
          </w:p>
        </w:tc>
        <w:tc>
          <w:tcPr>
            <w:tcW w:w="1254" w:type="dxa"/>
            <w:hideMark/>
          </w:tcPr>
          <w:p w14:paraId="74CB0787" w14:textId="77777777" w:rsidR="00A61532" w:rsidRPr="00606A0C" w:rsidRDefault="00A61532" w:rsidP="00C27AA2">
            <w:pPr>
              <w:spacing w:line="276" w:lineRule="auto"/>
              <w:ind w:left="-2"/>
              <w:jc w:val="right"/>
              <w:rPr>
                <w:rFonts w:ascii="Times New Roman" w:hAnsi="Times New Roman" w:cs="Times New Roman"/>
              </w:rPr>
            </w:pPr>
            <w:r w:rsidRPr="00606A0C">
              <w:rPr>
                <w:rFonts w:ascii="Times New Roman" w:hAnsi="Times New Roman" w:cs="Times New Roman"/>
              </w:rPr>
              <w:t>1,494</w:t>
            </w:r>
          </w:p>
        </w:tc>
      </w:tr>
      <w:tr w:rsidR="00A61532" w:rsidRPr="00935C7F" w14:paraId="5A4DA4A2" w14:textId="77777777" w:rsidTr="00C27AA2">
        <w:trPr>
          <w:trHeight w:val="21"/>
          <w:jc w:val="center"/>
        </w:trPr>
        <w:tc>
          <w:tcPr>
            <w:tcW w:w="513" w:type="dxa"/>
            <w:noWrap/>
            <w:hideMark/>
          </w:tcPr>
          <w:p w14:paraId="3416E0E0" w14:textId="758DCA9C" w:rsidR="00A61532" w:rsidRPr="00606A0C" w:rsidRDefault="00A61532" w:rsidP="00686421">
            <w:pPr>
              <w:spacing w:line="276" w:lineRule="auto"/>
              <w:ind w:left="-2"/>
              <w:jc w:val="center"/>
              <w:rPr>
                <w:rFonts w:ascii="Times New Roman" w:hAnsi="Times New Roman" w:cs="Times New Roman"/>
              </w:rPr>
            </w:pPr>
            <w:r w:rsidRPr="00606A0C">
              <w:rPr>
                <w:rFonts w:ascii="Times New Roman" w:hAnsi="Times New Roman" w:cs="Times New Roman"/>
              </w:rPr>
              <w:t>5</w:t>
            </w:r>
            <w:r w:rsidR="00606A0C">
              <w:rPr>
                <w:rFonts w:ascii="Times New Roman" w:hAnsi="Times New Roman" w:cs="Times New Roman"/>
              </w:rPr>
              <w:t>.</w:t>
            </w:r>
          </w:p>
        </w:tc>
        <w:tc>
          <w:tcPr>
            <w:tcW w:w="4497" w:type="dxa"/>
            <w:hideMark/>
          </w:tcPr>
          <w:p w14:paraId="6CBDC2BF" w14:textId="4C1451E6" w:rsidR="00A61532" w:rsidRPr="00606A0C" w:rsidRDefault="00A61532" w:rsidP="00686421">
            <w:pPr>
              <w:spacing w:line="276" w:lineRule="auto"/>
              <w:ind w:left="-2"/>
              <w:rPr>
                <w:rFonts w:ascii="Times New Roman" w:hAnsi="Times New Roman" w:cs="Times New Roman"/>
              </w:rPr>
            </w:pPr>
            <w:r w:rsidRPr="00606A0C">
              <w:rPr>
                <w:rFonts w:ascii="Times New Roman" w:hAnsi="Times New Roman" w:cs="Times New Roman"/>
              </w:rPr>
              <w:t>Excluded due to stock price outside range</w:t>
            </w:r>
            <w:r w:rsidR="00071FD6">
              <w:rPr>
                <w:rFonts w:ascii="Times New Roman" w:hAnsi="Times New Roman" w:cs="Times New Roman"/>
              </w:rPr>
              <w:t xml:space="preserve">             </w:t>
            </w:r>
            <w:r w:rsidRPr="00606A0C">
              <w:rPr>
                <w:rFonts w:ascii="Times New Roman" w:hAnsi="Times New Roman" w:cs="Times New Roman"/>
              </w:rPr>
              <w:t xml:space="preserve"> (IDR 50-55)</w:t>
            </w:r>
          </w:p>
        </w:tc>
        <w:tc>
          <w:tcPr>
            <w:tcW w:w="1843" w:type="dxa"/>
            <w:hideMark/>
          </w:tcPr>
          <w:p w14:paraId="46E4FD44" w14:textId="77777777" w:rsidR="00A61532" w:rsidRPr="00606A0C" w:rsidRDefault="00A61532" w:rsidP="00C27AA2">
            <w:pPr>
              <w:spacing w:line="276" w:lineRule="auto"/>
              <w:ind w:left="-2"/>
              <w:jc w:val="right"/>
              <w:rPr>
                <w:rFonts w:ascii="Times New Roman" w:hAnsi="Times New Roman" w:cs="Times New Roman"/>
              </w:rPr>
            </w:pPr>
            <w:r w:rsidRPr="00606A0C">
              <w:rPr>
                <w:rFonts w:ascii="Times New Roman" w:hAnsi="Times New Roman" w:cs="Times New Roman"/>
              </w:rPr>
              <w:t>136</w:t>
            </w:r>
          </w:p>
        </w:tc>
        <w:tc>
          <w:tcPr>
            <w:tcW w:w="1254" w:type="dxa"/>
            <w:hideMark/>
          </w:tcPr>
          <w:p w14:paraId="59D4F87C" w14:textId="77777777" w:rsidR="00A61532" w:rsidRPr="00606A0C" w:rsidRDefault="00A61532" w:rsidP="00C27AA2">
            <w:pPr>
              <w:spacing w:line="276" w:lineRule="auto"/>
              <w:ind w:left="-2"/>
              <w:jc w:val="right"/>
              <w:rPr>
                <w:rFonts w:ascii="Times New Roman" w:hAnsi="Times New Roman" w:cs="Times New Roman"/>
              </w:rPr>
            </w:pPr>
            <w:r w:rsidRPr="00606A0C">
              <w:rPr>
                <w:rFonts w:ascii="Times New Roman" w:hAnsi="Times New Roman" w:cs="Times New Roman"/>
              </w:rPr>
              <w:t>1,358</w:t>
            </w:r>
          </w:p>
        </w:tc>
      </w:tr>
      <w:tr w:rsidR="00A61532" w:rsidRPr="00606A0C" w14:paraId="5A9D1ECB" w14:textId="77777777" w:rsidTr="00C27AA2">
        <w:trPr>
          <w:trHeight w:val="21"/>
          <w:jc w:val="center"/>
        </w:trPr>
        <w:tc>
          <w:tcPr>
            <w:tcW w:w="513" w:type="dxa"/>
            <w:noWrap/>
            <w:hideMark/>
          </w:tcPr>
          <w:p w14:paraId="6FB1B0CB" w14:textId="77777777" w:rsidR="00A61532" w:rsidRPr="00606A0C" w:rsidRDefault="00A61532" w:rsidP="00686421">
            <w:pPr>
              <w:spacing w:line="276" w:lineRule="auto"/>
              <w:ind w:left="-2"/>
              <w:rPr>
                <w:rFonts w:ascii="Times New Roman" w:hAnsi="Times New Roman" w:cs="Times New Roman"/>
                <w:bCs/>
              </w:rPr>
            </w:pPr>
          </w:p>
        </w:tc>
        <w:tc>
          <w:tcPr>
            <w:tcW w:w="4497" w:type="dxa"/>
            <w:hideMark/>
          </w:tcPr>
          <w:p w14:paraId="0ED842B3" w14:textId="77777777" w:rsidR="00A61532" w:rsidRPr="00606A0C" w:rsidRDefault="00A61532" w:rsidP="00686421">
            <w:pPr>
              <w:spacing w:line="276" w:lineRule="auto"/>
              <w:ind w:left="-2"/>
              <w:rPr>
                <w:rFonts w:ascii="Times New Roman" w:hAnsi="Times New Roman" w:cs="Times New Roman"/>
                <w:bCs/>
              </w:rPr>
            </w:pPr>
            <w:r w:rsidRPr="00606A0C">
              <w:rPr>
                <w:rFonts w:ascii="Times New Roman" w:hAnsi="Times New Roman" w:cs="Times New Roman"/>
                <w:bCs/>
              </w:rPr>
              <w:t>Final Observation</w:t>
            </w:r>
          </w:p>
        </w:tc>
        <w:tc>
          <w:tcPr>
            <w:tcW w:w="1843" w:type="dxa"/>
            <w:noWrap/>
            <w:hideMark/>
          </w:tcPr>
          <w:p w14:paraId="198396AF" w14:textId="77777777" w:rsidR="00A61532" w:rsidRPr="00606A0C" w:rsidRDefault="00A61532" w:rsidP="00C27AA2">
            <w:pPr>
              <w:spacing w:line="276" w:lineRule="auto"/>
              <w:ind w:left="-2"/>
              <w:jc w:val="right"/>
              <w:rPr>
                <w:rFonts w:ascii="Times New Roman" w:hAnsi="Times New Roman" w:cs="Times New Roman"/>
                <w:bCs/>
              </w:rPr>
            </w:pPr>
          </w:p>
        </w:tc>
        <w:tc>
          <w:tcPr>
            <w:tcW w:w="1254" w:type="dxa"/>
            <w:noWrap/>
            <w:hideMark/>
          </w:tcPr>
          <w:p w14:paraId="68388041" w14:textId="77777777" w:rsidR="00A61532" w:rsidRPr="00606A0C" w:rsidRDefault="00A61532" w:rsidP="00C27AA2">
            <w:pPr>
              <w:spacing w:line="276" w:lineRule="auto"/>
              <w:ind w:left="-2"/>
              <w:jc w:val="right"/>
              <w:rPr>
                <w:rFonts w:ascii="Times New Roman" w:hAnsi="Times New Roman" w:cs="Times New Roman"/>
                <w:bCs/>
              </w:rPr>
            </w:pPr>
            <w:r w:rsidRPr="00606A0C">
              <w:rPr>
                <w:rFonts w:ascii="Times New Roman" w:hAnsi="Times New Roman" w:cs="Times New Roman"/>
                <w:bCs/>
              </w:rPr>
              <w:t>1,358</w:t>
            </w:r>
          </w:p>
        </w:tc>
      </w:tr>
    </w:tbl>
    <w:p w14:paraId="320E8831" w14:textId="77777777" w:rsidR="007E3513" w:rsidRPr="00606A0C" w:rsidRDefault="007E3513" w:rsidP="00686421">
      <w:pPr>
        <w:spacing w:after="0"/>
        <w:ind w:firstLine="426"/>
        <w:jc w:val="center"/>
        <w:rPr>
          <w:rFonts w:ascii="Times New Roman" w:eastAsia="Times New Roman" w:hAnsi="Times New Roman" w:cs="Times New Roman"/>
          <w:bCs/>
          <w:sz w:val="24"/>
          <w:szCs w:val="24"/>
        </w:rPr>
      </w:pPr>
    </w:p>
    <w:p w14:paraId="5D78F6F6" w14:textId="77777777" w:rsidR="00606A0C" w:rsidRDefault="00606A0C" w:rsidP="00686421">
      <w:pPr>
        <w:spacing w:after="0"/>
        <w:jc w:val="both"/>
        <w:rPr>
          <w:rFonts w:ascii="Times New Roman" w:eastAsia="Times New Roman" w:hAnsi="Times New Roman" w:cs="Times New Roman"/>
          <w:sz w:val="24"/>
          <w:szCs w:val="24"/>
        </w:rPr>
      </w:pPr>
      <w:r w:rsidRPr="00935C7F">
        <w:rPr>
          <w:rFonts w:ascii="Times New Roman" w:eastAsia="Times New Roman" w:hAnsi="Times New Roman" w:cs="Times New Roman"/>
          <w:sz w:val="24"/>
          <w:szCs w:val="24"/>
        </w:rPr>
        <w:t>After applying these criteria, the final sample consists of 1,358 firm-year observation</w:t>
      </w:r>
      <w:r>
        <w:rPr>
          <w:rFonts w:ascii="Times New Roman" w:eastAsia="Times New Roman" w:hAnsi="Times New Roman" w:cs="Times New Roman"/>
          <w:sz w:val="24"/>
          <w:szCs w:val="24"/>
        </w:rPr>
        <w:t>s</w:t>
      </w:r>
      <w:r w:rsidRPr="00935C7F">
        <w:rPr>
          <w:rFonts w:ascii="Times New Roman" w:eastAsia="Times New Roman" w:hAnsi="Times New Roman" w:cs="Times New Roman"/>
          <w:sz w:val="24"/>
          <w:szCs w:val="24"/>
        </w:rPr>
        <w:t>. These companies are deemed to meet the requirements for examining the relationship between KAM disclosures and investment risk, providing a robust dataset for the study.</w:t>
      </w:r>
    </w:p>
    <w:p w14:paraId="6851389B" w14:textId="2384E794" w:rsidR="007A3B40" w:rsidRPr="00935C7F" w:rsidRDefault="007A3B40" w:rsidP="00686421">
      <w:pPr>
        <w:spacing w:after="0"/>
        <w:ind w:firstLine="426"/>
        <w:jc w:val="both"/>
        <w:rPr>
          <w:rFonts w:ascii="Times New Roman" w:eastAsia="Times New Roman" w:hAnsi="Times New Roman" w:cs="Times New Roman"/>
          <w:sz w:val="24"/>
          <w:szCs w:val="24"/>
          <w:lang w:val="id-ID"/>
        </w:rPr>
      </w:pPr>
      <w:r w:rsidRPr="00935C7F">
        <w:rPr>
          <w:rFonts w:ascii="Times New Roman" w:eastAsia="Times New Roman" w:hAnsi="Times New Roman" w:cs="Times New Roman"/>
          <w:sz w:val="24"/>
          <w:szCs w:val="24"/>
          <w:lang w:val="id-ID"/>
        </w:rPr>
        <w:t xml:space="preserve">To obtain the necessary data for this research, the author relied on secondary sources, specifically focusing on audit reports published by companies listed on the Indonesia Stock Exchange (IDX). The research utilized the annual financial statements of these companies, which include independent auditor reports. These reports were accessed through the IDX website, providing detailed information on the </w:t>
      </w:r>
      <w:r w:rsidR="00BE4252" w:rsidRPr="00935C7F">
        <w:rPr>
          <w:rFonts w:ascii="Times New Roman" w:eastAsia="Times New Roman" w:hAnsi="Times New Roman" w:cs="Times New Roman"/>
          <w:sz w:val="24"/>
          <w:szCs w:val="24"/>
          <w:lang w:val="id-ID"/>
        </w:rPr>
        <w:t>KAM</w:t>
      </w:r>
      <w:r w:rsidRPr="00935C7F">
        <w:rPr>
          <w:rFonts w:ascii="Times New Roman" w:eastAsia="Times New Roman" w:hAnsi="Times New Roman" w:cs="Times New Roman"/>
          <w:sz w:val="24"/>
          <w:szCs w:val="24"/>
          <w:lang w:val="id-ID"/>
        </w:rPr>
        <w:t xml:space="preserve"> disclosed in the audit reports.</w:t>
      </w:r>
    </w:p>
    <w:p w14:paraId="2DB4FDD4" w14:textId="5CB3760A" w:rsidR="00F70DDB" w:rsidRDefault="007A3B40" w:rsidP="00071FD6">
      <w:pPr>
        <w:spacing w:after="0"/>
        <w:ind w:firstLine="426"/>
        <w:jc w:val="both"/>
        <w:rPr>
          <w:rFonts w:ascii="Times New Roman" w:eastAsia="Times New Roman" w:hAnsi="Times New Roman" w:cs="Times New Roman"/>
          <w:sz w:val="24"/>
          <w:szCs w:val="24"/>
          <w:lang w:val="id-ID"/>
        </w:rPr>
      </w:pPr>
      <w:r w:rsidRPr="00935C7F">
        <w:rPr>
          <w:rFonts w:ascii="Times New Roman" w:eastAsia="Times New Roman" w:hAnsi="Times New Roman" w:cs="Times New Roman"/>
          <w:sz w:val="24"/>
          <w:szCs w:val="24"/>
          <w:lang w:val="id-ID"/>
        </w:rPr>
        <w:t xml:space="preserve">A total of 1,664 audit reports were analyzed for the years 2022 and 2023. These reports provided insights into the KAM disclosures, including the number of </w:t>
      </w:r>
      <w:r w:rsidR="00BE4252" w:rsidRPr="00935C7F">
        <w:rPr>
          <w:rFonts w:ascii="Times New Roman" w:eastAsia="Times New Roman" w:hAnsi="Times New Roman" w:cs="Times New Roman"/>
          <w:sz w:val="24"/>
          <w:szCs w:val="24"/>
          <w:lang w:val="id-ID"/>
        </w:rPr>
        <w:t>KAM</w:t>
      </w:r>
      <w:r w:rsidRPr="00935C7F">
        <w:rPr>
          <w:rFonts w:ascii="Times New Roman" w:eastAsia="Times New Roman" w:hAnsi="Times New Roman" w:cs="Times New Roman"/>
          <w:sz w:val="24"/>
          <w:szCs w:val="24"/>
          <w:lang w:val="id-ID"/>
        </w:rPr>
        <w:t xml:space="preserve"> disclosed, the number of paragraphs devoted to each KAM, and any monetary information included in the reports. Each of these elements serves as a proxy for the level of transparency and the quality of risk disclosures. In addition to the audit reports, the study required stock price data to assess the investment risk. The stock price data, covering the same period (2022-2023), was sourced from Google Finance. Over 700,000 stock data</w:t>
      </w:r>
      <w:r w:rsidR="00B0325B">
        <w:rPr>
          <w:rFonts w:ascii="Times New Roman" w:eastAsia="Times New Roman" w:hAnsi="Times New Roman" w:cs="Times New Roman"/>
          <w:sz w:val="24"/>
          <w:szCs w:val="24"/>
          <w:lang w:val="id-ID"/>
        </w:rPr>
        <w:t xml:space="preserve"> points</w:t>
      </w:r>
      <w:r w:rsidRPr="00935C7F">
        <w:rPr>
          <w:rFonts w:ascii="Times New Roman" w:eastAsia="Times New Roman" w:hAnsi="Times New Roman" w:cs="Times New Roman"/>
          <w:sz w:val="24"/>
          <w:szCs w:val="24"/>
          <w:lang w:val="id-ID"/>
        </w:rPr>
        <w:t xml:space="preserve"> were collected, which were then used to calculate the standard deviation of stock returns, a key measure of investment risk in this study. This large volume of stock data allowed for a robust analysis of how stock price volatility correlates with KAM disclosures.</w:t>
      </w:r>
    </w:p>
    <w:p w14:paraId="6BC449FA" w14:textId="77777777" w:rsidR="00071FD6" w:rsidRDefault="00071FD6" w:rsidP="00071FD6">
      <w:pPr>
        <w:spacing w:after="0"/>
        <w:ind w:firstLine="426"/>
        <w:jc w:val="both"/>
        <w:rPr>
          <w:rFonts w:ascii="Times New Roman" w:eastAsia="Times New Roman" w:hAnsi="Times New Roman" w:cs="Times New Roman"/>
          <w:sz w:val="24"/>
          <w:szCs w:val="24"/>
          <w:lang w:val="id-ID"/>
        </w:rPr>
      </w:pPr>
    </w:p>
    <w:p w14:paraId="6456EEAF" w14:textId="77777777" w:rsidR="00071FD6" w:rsidRDefault="00071FD6" w:rsidP="00071FD6">
      <w:pPr>
        <w:spacing w:after="0"/>
        <w:ind w:firstLine="426"/>
        <w:jc w:val="both"/>
        <w:rPr>
          <w:rFonts w:ascii="Times New Roman" w:eastAsia="Times New Roman" w:hAnsi="Times New Roman" w:cs="Times New Roman"/>
          <w:sz w:val="24"/>
          <w:szCs w:val="24"/>
          <w:lang w:val="id-ID"/>
        </w:rPr>
      </w:pPr>
    </w:p>
    <w:p w14:paraId="760F9AF2" w14:textId="77777777" w:rsidR="00071FD6" w:rsidRDefault="00071FD6" w:rsidP="00071FD6">
      <w:pPr>
        <w:spacing w:after="0"/>
        <w:ind w:firstLine="426"/>
        <w:jc w:val="both"/>
        <w:rPr>
          <w:rFonts w:ascii="Times New Roman" w:eastAsia="Times New Roman" w:hAnsi="Times New Roman" w:cs="Times New Roman"/>
          <w:sz w:val="24"/>
          <w:szCs w:val="24"/>
          <w:lang w:val="id-ID"/>
        </w:rPr>
      </w:pPr>
    </w:p>
    <w:p w14:paraId="4FB81AEB" w14:textId="77777777" w:rsidR="00071FD6" w:rsidRDefault="00071FD6" w:rsidP="00071FD6">
      <w:pPr>
        <w:spacing w:after="0"/>
        <w:ind w:firstLine="426"/>
        <w:jc w:val="both"/>
        <w:rPr>
          <w:rFonts w:ascii="Times New Roman" w:eastAsia="Times New Roman" w:hAnsi="Times New Roman" w:cs="Times New Roman"/>
          <w:sz w:val="24"/>
          <w:szCs w:val="24"/>
          <w:lang w:val="id-ID"/>
        </w:rPr>
      </w:pPr>
    </w:p>
    <w:p w14:paraId="64ED7D83" w14:textId="77777777" w:rsidR="00071FD6" w:rsidRDefault="00071FD6" w:rsidP="00071FD6">
      <w:pPr>
        <w:spacing w:after="0"/>
        <w:ind w:firstLine="426"/>
        <w:jc w:val="both"/>
        <w:rPr>
          <w:rFonts w:ascii="Times New Roman" w:eastAsia="Times New Roman" w:hAnsi="Times New Roman" w:cs="Times New Roman"/>
          <w:sz w:val="24"/>
          <w:szCs w:val="24"/>
          <w:lang w:val="id-ID"/>
        </w:rPr>
      </w:pPr>
    </w:p>
    <w:p w14:paraId="69B9C6E9" w14:textId="77777777" w:rsidR="00F70DDB" w:rsidRDefault="00F70DDB" w:rsidP="00071FD6">
      <w:pPr>
        <w:spacing w:after="0"/>
        <w:jc w:val="both"/>
        <w:rPr>
          <w:rFonts w:ascii="Times New Roman" w:eastAsia="Times New Roman" w:hAnsi="Times New Roman" w:cs="Times New Roman"/>
          <w:sz w:val="24"/>
          <w:szCs w:val="24"/>
          <w:lang w:val="id-ID"/>
        </w:rPr>
      </w:pPr>
    </w:p>
    <w:p w14:paraId="49E84CC4" w14:textId="207A1CB7" w:rsidR="007A3B40" w:rsidRPr="00935C7F" w:rsidRDefault="007A3B40" w:rsidP="00686421">
      <w:pPr>
        <w:spacing w:after="0"/>
        <w:jc w:val="center"/>
        <w:rPr>
          <w:rFonts w:ascii="Times New Roman" w:eastAsia="Times New Roman" w:hAnsi="Times New Roman" w:cs="Times New Roman"/>
          <w:b/>
          <w:bCs/>
          <w:sz w:val="24"/>
          <w:szCs w:val="24"/>
        </w:rPr>
      </w:pPr>
      <w:r w:rsidRPr="00935C7F">
        <w:rPr>
          <w:rFonts w:ascii="Times New Roman" w:eastAsia="Times New Roman" w:hAnsi="Times New Roman" w:cs="Times New Roman"/>
          <w:b/>
          <w:bCs/>
          <w:sz w:val="24"/>
          <w:szCs w:val="24"/>
        </w:rPr>
        <w:lastRenderedPageBreak/>
        <w:t>Table 2</w:t>
      </w:r>
      <w:r w:rsidR="00606A0C">
        <w:rPr>
          <w:rFonts w:ascii="Times New Roman" w:eastAsia="Times New Roman" w:hAnsi="Times New Roman" w:cs="Times New Roman"/>
          <w:b/>
          <w:bCs/>
          <w:sz w:val="24"/>
          <w:szCs w:val="24"/>
          <w:lang w:val="id-ID"/>
        </w:rPr>
        <w:t xml:space="preserve">. </w:t>
      </w:r>
      <w:r w:rsidRPr="00935C7F">
        <w:rPr>
          <w:rFonts w:ascii="Times New Roman" w:eastAsia="Times New Roman" w:hAnsi="Times New Roman" w:cs="Times New Roman"/>
          <w:b/>
          <w:bCs/>
          <w:sz w:val="24"/>
          <w:szCs w:val="24"/>
        </w:rPr>
        <w:t xml:space="preserve">Variable </w:t>
      </w:r>
      <w:r w:rsidR="00606A0C">
        <w:rPr>
          <w:rFonts w:ascii="Times New Roman" w:eastAsia="Times New Roman" w:hAnsi="Times New Roman" w:cs="Times New Roman"/>
          <w:b/>
          <w:bCs/>
          <w:sz w:val="24"/>
          <w:szCs w:val="24"/>
          <w:lang w:val="id-ID"/>
        </w:rPr>
        <w:t xml:space="preserve">Measurement </w:t>
      </w:r>
    </w:p>
    <w:tbl>
      <w:tblPr>
        <w:tblStyle w:val="TableGrid"/>
        <w:tblW w:w="91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5"/>
        <w:gridCol w:w="1822"/>
        <w:gridCol w:w="3690"/>
        <w:gridCol w:w="1978"/>
      </w:tblGrid>
      <w:tr w:rsidR="007A0399" w:rsidRPr="00935C7F" w14:paraId="12BE5932" w14:textId="29F8A41E" w:rsidTr="00C27AA2">
        <w:trPr>
          <w:trHeight w:val="490"/>
          <w:jc w:val="center"/>
        </w:trPr>
        <w:tc>
          <w:tcPr>
            <w:tcW w:w="1685" w:type="dxa"/>
            <w:tcBorders>
              <w:top w:val="single" w:sz="4" w:space="0" w:color="auto"/>
              <w:bottom w:val="single" w:sz="4" w:space="0" w:color="auto"/>
            </w:tcBorders>
            <w:vAlign w:val="center"/>
            <w:hideMark/>
          </w:tcPr>
          <w:p w14:paraId="1C95666E" w14:textId="77777777" w:rsidR="007A0399" w:rsidRPr="00606A0C" w:rsidRDefault="007A0399" w:rsidP="00C27AA2">
            <w:pPr>
              <w:spacing w:line="276" w:lineRule="auto"/>
              <w:ind w:hanging="2"/>
              <w:rPr>
                <w:rFonts w:ascii="Times New Roman" w:eastAsia="Times New Roman" w:hAnsi="Times New Roman" w:cs="Times New Roman"/>
                <w:b/>
                <w:bCs/>
                <w:color w:val="000000"/>
              </w:rPr>
            </w:pPr>
            <w:r w:rsidRPr="00606A0C">
              <w:rPr>
                <w:rFonts w:ascii="Times New Roman" w:eastAsia="Times New Roman" w:hAnsi="Times New Roman" w:cs="Times New Roman"/>
                <w:b/>
                <w:bCs/>
                <w:color w:val="000000"/>
              </w:rPr>
              <w:t>Variable Type</w:t>
            </w:r>
          </w:p>
        </w:tc>
        <w:tc>
          <w:tcPr>
            <w:tcW w:w="1822" w:type="dxa"/>
            <w:tcBorders>
              <w:top w:val="single" w:sz="4" w:space="0" w:color="auto"/>
              <w:bottom w:val="single" w:sz="4" w:space="0" w:color="auto"/>
            </w:tcBorders>
            <w:vAlign w:val="center"/>
            <w:hideMark/>
          </w:tcPr>
          <w:p w14:paraId="2A8748D4" w14:textId="77777777" w:rsidR="007A0399" w:rsidRPr="00606A0C" w:rsidRDefault="007A0399" w:rsidP="00C27AA2">
            <w:pPr>
              <w:spacing w:line="276" w:lineRule="auto"/>
              <w:ind w:hanging="2"/>
              <w:rPr>
                <w:rFonts w:ascii="Times New Roman" w:eastAsia="Times New Roman" w:hAnsi="Times New Roman" w:cs="Times New Roman"/>
                <w:b/>
                <w:bCs/>
                <w:color w:val="000000"/>
              </w:rPr>
            </w:pPr>
            <w:r w:rsidRPr="00606A0C">
              <w:rPr>
                <w:rFonts w:ascii="Times New Roman" w:eastAsia="Times New Roman" w:hAnsi="Times New Roman" w:cs="Times New Roman"/>
                <w:b/>
                <w:bCs/>
                <w:color w:val="000000"/>
              </w:rPr>
              <w:t>Variable</w:t>
            </w:r>
          </w:p>
        </w:tc>
        <w:tc>
          <w:tcPr>
            <w:tcW w:w="3690" w:type="dxa"/>
            <w:tcBorders>
              <w:top w:val="single" w:sz="4" w:space="0" w:color="auto"/>
              <w:bottom w:val="single" w:sz="4" w:space="0" w:color="auto"/>
            </w:tcBorders>
            <w:vAlign w:val="center"/>
            <w:hideMark/>
          </w:tcPr>
          <w:p w14:paraId="2301AFB4" w14:textId="77777777" w:rsidR="007A0399" w:rsidRPr="00606A0C" w:rsidRDefault="007A0399" w:rsidP="00C27AA2">
            <w:pPr>
              <w:spacing w:line="276" w:lineRule="auto"/>
              <w:ind w:hanging="2"/>
              <w:rPr>
                <w:rFonts w:ascii="Times New Roman" w:eastAsia="Times New Roman" w:hAnsi="Times New Roman" w:cs="Times New Roman"/>
                <w:b/>
                <w:bCs/>
                <w:color w:val="000000"/>
              </w:rPr>
            </w:pPr>
            <w:r w:rsidRPr="00606A0C">
              <w:rPr>
                <w:rFonts w:ascii="Times New Roman" w:eastAsia="Times New Roman" w:hAnsi="Times New Roman" w:cs="Times New Roman"/>
                <w:b/>
                <w:bCs/>
                <w:color w:val="000000"/>
              </w:rPr>
              <w:t>Definition/Measurement</w:t>
            </w:r>
          </w:p>
        </w:tc>
        <w:tc>
          <w:tcPr>
            <w:tcW w:w="1978" w:type="dxa"/>
            <w:tcBorders>
              <w:top w:val="single" w:sz="4" w:space="0" w:color="auto"/>
              <w:bottom w:val="single" w:sz="4" w:space="0" w:color="auto"/>
            </w:tcBorders>
            <w:vAlign w:val="center"/>
          </w:tcPr>
          <w:p w14:paraId="42BCDFED" w14:textId="3FEF951E" w:rsidR="007A0399" w:rsidRPr="00606A0C" w:rsidRDefault="007A0399" w:rsidP="00C27AA2">
            <w:pPr>
              <w:spacing w:line="276" w:lineRule="auto"/>
              <w:ind w:hanging="2"/>
              <w:rPr>
                <w:rFonts w:ascii="Times New Roman" w:eastAsia="Times New Roman" w:hAnsi="Times New Roman" w:cs="Times New Roman"/>
                <w:b/>
                <w:bCs/>
                <w:color w:val="000000"/>
              </w:rPr>
            </w:pPr>
            <w:r w:rsidRPr="00606A0C">
              <w:rPr>
                <w:rFonts w:ascii="Times New Roman" w:eastAsia="Times New Roman" w:hAnsi="Times New Roman" w:cs="Times New Roman"/>
                <w:b/>
                <w:bCs/>
                <w:color w:val="000000"/>
              </w:rPr>
              <w:t>Referenced</w:t>
            </w:r>
            <w:r w:rsidR="00E81098" w:rsidRPr="00606A0C">
              <w:rPr>
                <w:rFonts w:ascii="Times New Roman" w:eastAsia="Times New Roman" w:hAnsi="Times New Roman" w:cs="Times New Roman"/>
                <w:b/>
                <w:bCs/>
                <w:color w:val="000000"/>
              </w:rPr>
              <w:t xml:space="preserve"> from</w:t>
            </w:r>
          </w:p>
        </w:tc>
      </w:tr>
      <w:tr w:rsidR="007A0399" w:rsidRPr="00935C7F" w14:paraId="74751FA8" w14:textId="62E75672" w:rsidTr="00C27AA2">
        <w:trPr>
          <w:trHeight w:val="1681"/>
          <w:jc w:val="center"/>
        </w:trPr>
        <w:tc>
          <w:tcPr>
            <w:tcW w:w="1685" w:type="dxa"/>
            <w:tcBorders>
              <w:top w:val="single" w:sz="4" w:space="0" w:color="auto"/>
            </w:tcBorders>
            <w:hideMark/>
          </w:tcPr>
          <w:p w14:paraId="2B708D9C" w14:textId="77777777" w:rsidR="007A0399" w:rsidRPr="005261B1" w:rsidRDefault="007A0399" w:rsidP="00C27AA2">
            <w:pPr>
              <w:spacing w:line="276" w:lineRule="auto"/>
              <w:ind w:hanging="2"/>
              <w:rPr>
                <w:rFonts w:ascii="Times New Roman" w:eastAsia="Times New Roman" w:hAnsi="Times New Roman" w:cs="Times New Roman"/>
                <w:bCs/>
                <w:color w:val="000000"/>
              </w:rPr>
            </w:pPr>
            <w:r w:rsidRPr="005261B1">
              <w:rPr>
                <w:rFonts w:ascii="Times New Roman" w:eastAsia="Times New Roman" w:hAnsi="Times New Roman" w:cs="Times New Roman"/>
                <w:bCs/>
                <w:color w:val="000000"/>
              </w:rPr>
              <w:t>Independent Variable</w:t>
            </w:r>
          </w:p>
        </w:tc>
        <w:tc>
          <w:tcPr>
            <w:tcW w:w="1822" w:type="dxa"/>
            <w:tcBorders>
              <w:top w:val="single" w:sz="4" w:space="0" w:color="auto"/>
            </w:tcBorders>
            <w:hideMark/>
          </w:tcPr>
          <w:p w14:paraId="17F5673A" w14:textId="77777777" w:rsidR="007A0399" w:rsidRPr="00606A0C" w:rsidRDefault="007A0399" w:rsidP="00C27AA2">
            <w:pPr>
              <w:spacing w:line="276" w:lineRule="auto"/>
              <w:ind w:hanging="2"/>
              <w:rPr>
                <w:rFonts w:ascii="Times New Roman" w:eastAsia="Times New Roman" w:hAnsi="Times New Roman" w:cs="Times New Roman"/>
                <w:color w:val="000000"/>
              </w:rPr>
            </w:pPr>
            <w:r w:rsidRPr="00606A0C">
              <w:rPr>
                <w:rFonts w:ascii="Times New Roman" w:eastAsia="Times New Roman" w:hAnsi="Times New Roman" w:cs="Times New Roman"/>
                <w:color w:val="000000"/>
              </w:rPr>
              <w:t>Key Audit Matters (KAM1, KAM2, KAM3)</w:t>
            </w:r>
          </w:p>
        </w:tc>
        <w:tc>
          <w:tcPr>
            <w:tcW w:w="3690" w:type="dxa"/>
            <w:tcBorders>
              <w:top w:val="single" w:sz="4" w:space="0" w:color="auto"/>
            </w:tcBorders>
            <w:hideMark/>
          </w:tcPr>
          <w:p w14:paraId="51CB520D" w14:textId="77777777" w:rsidR="007A0399" w:rsidRDefault="007A0399" w:rsidP="00C27AA2">
            <w:pPr>
              <w:spacing w:line="276" w:lineRule="auto"/>
              <w:ind w:hanging="2"/>
              <w:rPr>
                <w:rFonts w:ascii="Times New Roman" w:eastAsia="Times New Roman" w:hAnsi="Times New Roman" w:cs="Times New Roman"/>
                <w:color w:val="000000"/>
              </w:rPr>
            </w:pPr>
            <w:r w:rsidRPr="00606A0C">
              <w:rPr>
                <w:rFonts w:ascii="Times New Roman" w:eastAsia="Times New Roman" w:hAnsi="Times New Roman" w:cs="Times New Roman"/>
                <w:color w:val="000000"/>
              </w:rPr>
              <w:t>Measured by three proxies:</w:t>
            </w:r>
          </w:p>
          <w:p w14:paraId="0CD24554" w14:textId="77777777" w:rsidR="00ED4051" w:rsidRDefault="00ED4051" w:rsidP="00C27AA2">
            <w:pPr>
              <w:pStyle w:val="ListParagraph"/>
              <w:numPr>
                <w:ilvl w:val="0"/>
                <w:numId w:val="3"/>
              </w:numPr>
              <w:rPr>
                <w:rFonts w:ascii="Times New Roman" w:eastAsia="Times New Roman" w:hAnsi="Times New Roman" w:cs="Times New Roman"/>
                <w:color w:val="000000"/>
              </w:rPr>
            </w:pPr>
            <w:r w:rsidRPr="00ED4051">
              <w:rPr>
                <w:rFonts w:ascii="Times New Roman" w:eastAsia="Times New Roman" w:hAnsi="Times New Roman" w:cs="Times New Roman"/>
                <w:color w:val="000000"/>
              </w:rPr>
              <w:t>Number of KAM disclosed</w:t>
            </w:r>
          </w:p>
          <w:p w14:paraId="2FBE4C2D" w14:textId="77777777" w:rsidR="00ED4051" w:rsidRDefault="00ED4051" w:rsidP="00C27AA2">
            <w:pPr>
              <w:pStyle w:val="ListParagraph"/>
              <w:numPr>
                <w:ilvl w:val="0"/>
                <w:numId w:val="3"/>
              </w:numPr>
              <w:rPr>
                <w:rFonts w:ascii="Times New Roman" w:eastAsia="Times New Roman" w:hAnsi="Times New Roman" w:cs="Times New Roman"/>
                <w:color w:val="000000"/>
              </w:rPr>
            </w:pPr>
            <w:r w:rsidRPr="00ED4051">
              <w:rPr>
                <w:rFonts w:ascii="Times New Roman" w:eastAsia="Times New Roman" w:hAnsi="Times New Roman" w:cs="Times New Roman"/>
                <w:color w:val="000000"/>
              </w:rPr>
              <w:t>Number of paragraphs dedicated to</w:t>
            </w:r>
            <w:r>
              <w:t xml:space="preserve"> </w:t>
            </w:r>
            <w:r w:rsidRPr="00ED4051">
              <w:rPr>
                <w:rFonts w:ascii="Times New Roman" w:eastAsia="Times New Roman" w:hAnsi="Times New Roman" w:cs="Times New Roman"/>
                <w:color w:val="000000"/>
              </w:rPr>
              <w:t>KAM in the audit report</w:t>
            </w:r>
          </w:p>
          <w:p w14:paraId="5075573D" w14:textId="77777777" w:rsidR="00ED4051" w:rsidRDefault="00ED4051" w:rsidP="00C27AA2">
            <w:pPr>
              <w:pStyle w:val="ListParagraph"/>
              <w:numPr>
                <w:ilvl w:val="0"/>
                <w:numId w:val="3"/>
              </w:numPr>
              <w:rPr>
                <w:rFonts w:ascii="Times New Roman" w:eastAsia="Times New Roman" w:hAnsi="Times New Roman" w:cs="Times New Roman"/>
                <w:color w:val="000000"/>
              </w:rPr>
            </w:pPr>
            <w:r w:rsidRPr="00ED4051">
              <w:rPr>
                <w:rFonts w:ascii="Times New Roman" w:eastAsia="Times New Roman" w:hAnsi="Times New Roman" w:cs="Times New Roman"/>
                <w:color w:val="000000"/>
              </w:rPr>
              <w:t>Monetary information disclosed within KAM</w:t>
            </w:r>
          </w:p>
          <w:p w14:paraId="3C85CF79" w14:textId="2E687322" w:rsidR="005261B1" w:rsidRPr="00ED4051" w:rsidRDefault="005261B1" w:rsidP="00C27AA2">
            <w:pPr>
              <w:pStyle w:val="ListParagraph"/>
              <w:ind w:left="358"/>
              <w:rPr>
                <w:rFonts w:ascii="Times New Roman" w:eastAsia="Times New Roman" w:hAnsi="Times New Roman" w:cs="Times New Roman"/>
                <w:color w:val="000000"/>
              </w:rPr>
            </w:pPr>
          </w:p>
        </w:tc>
        <w:tc>
          <w:tcPr>
            <w:tcW w:w="1978" w:type="dxa"/>
            <w:tcBorders>
              <w:top w:val="single" w:sz="4" w:space="0" w:color="auto"/>
            </w:tcBorders>
          </w:tcPr>
          <w:p w14:paraId="6CF79DB3" w14:textId="77777777" w:rsidR="00ED4051" w:rsidRDefault="00ED4051" w:rsidP="00C27AA2">
            <w:pPr>
              <w:spacing w:line="276" w:lineRule="auto"/>
              <w:ind w:hanging="2"/>
              <w:rPr>
                <w:rFonts w:ascii="Times New Roman" w:eastAsia="Times New Roman" w:hAnsi="Times New Roman" w:cs="Times New Roman"/>
                <w:i/>
                <w:iCs/>
                <w:color w:val="000000"/>
              </w:rPr>
            </w:pPr>
          </w:p>
          <w:p w14:paraId="4962C3A0" w14:textId="77777777" w:rsidR="00ED4051" w:rsidRDefault="00ED4051" w:rsidP="00C27AA2">
            <w:pPr>
              <w:spacing w:line="276" w:lineRule="auto"/>
              <w:ind w:hanging="2"/>
              <w:rPr>
                <w:rFonts w:ascii="Times New Roman" w:eastAsia="Times New Roman" w:hAnsi="Times New Roman" w:cs="Times New Roman"/>
                <w:i/>
                <w:iCs/>
                <w:color w:val="000000"/>
              </w:rPr>
            </w:pPr>
            <w:r w:rsidRPr="00606A0C">
              <w:rPr>
                <w:rFonts w:ascii="Times New Roman" w:eastAsia="Times New Roman" w:hAnsi="Times New Roman" w:cs="Times New Roman"/>
                <w:i/>
                <w:iCs/>
                <w:color w:val="000000"/>
              </w:rPr>
              <w:t>Developed for this study</w:t>
            </w:r>
          </w:p>
          <w:p w14:paraId="5FEC3AF7" w14:textId="77777777" w:rsidR="007A0399" w:rsidRPr="00606A0C" w:rsidRDefault="007A0399" w:rsidP="00C27AA2">
            <w:pPr>
              <w:spacing w:line="276" w:lineRule="auto"/>
              <w:ind w:hanging="2"/>
              <w:rPr>
                <w:rFonts w:ascii="Times New Roman" w:eastAsia="Times New Roman" w:hAnsi="Times New Roman" w:cs="Times New Roman"/>
                <w:color w:val="000000"/>
              </w:rPr>
            </w:pPr>
          </w:p>
        </w:tc>
      </w:tr>
      <w:tr w:rsidR="007A0399" w:rsidRPr="00935C7F" w14:paraId="3F117E9B" w14:textId="28886373" w:rsidTr="00C27AA2">
        <w:trPr>
          <w:trHeight w:val="630"/>
          <w:jc w:val="center"/>
        </w:trPr>
        <w:tc>
          <w:tcPr>
            <w:tcW w:w="1685" w:type="dxa"/>
            <w:hideMark/>
          </w:tcPr>
          <w:p w14:paraId="04B1415B" w14:textId="77777777" w:rsidR="007A0399" w:rsidRPr="005261B1" w:rsidRDefault="007A0399" w:rsidP="00C27AA2">
            <w:pPr>
              <w:spacing w:line="276" w:lineRule="auto"/>
              <w:ind w:hanging="2"/>
              <w:rPr>
                <w:rFonts w:ascii="Times New Roman" w:eastAsia="Times New Roman" w:hAnsi="Times New Roman" w:cs="Times New Roman"/>
                <w:bCs/>
                <w:color w:val="000000"/>
              </w:rPr>
            </w:pPr>
            <w:r w:rsidRPr="005261B1">
              <w:rPr>
                <w:rFonts w:ascii="Times New Roman" w:eastAsia="Times New Roman" w:hAnsi="Times New Roman" w:cs="Times New Roman"/>
                <w:bCs/>
                <w:color w:val="000000"/>
              </w:rPr>
              <w:t>Dependent Variable</w:t>
            </w:r>
          </w:p>
        </w:tc>
        <w:tc>
          <w:tcPr>
            <w:tcW w:w="1822" w:type="dxa"/>
            <w:hideMark/>
          </w:tcPr>
          <w:p w14:paraId="1F24E2FA" w14:textId="77777777" w:rsidR="007A0399" w:rsidRPr="00606A0C" w:rsidRDefault="007A0399" w:rsidP="00C27AA2">
            <w:pPr>
              <w:spacing w:line="276" w:lineRule="auto"/>
              <w:ind w:hanging="2"/>
              <w:rPr>
                <w:rFonts w:ascii="Times New Roman" w:eastAsia="Times New Roman" w:hAnsi="Times New Roman" w:cs="Times New Roman"/>
                <w:color w:val="000000"/>
              </w:rPr>
            </w:pPr>
            <w:r w:rsidRPr="00606A0C">
              <w:rPr>
                <w:rFonts w:ascii="Times New Roman" w:eastAsia="Times New Roman" w:hAnsi="Times New Roman" w:cs="Times New Roman"/>
                <w:color w:val="000000"/>
              </w:rPr>
              <w:t>Investment Risk (RISK)</w:t>
            </w:r>
          </w:p>
        </w:tc>
        <w:tc>
          <w:tcPr>
            <w:tcW w:w="3690" w:type="dxa"/>
            <w:hideMark/>
          </w:tcPr>
          <w:p w14:paraId="110A3A90" w14:textId="77777777" w:rsidR="007A0399" w:rsidRDefault="007A0399" w:rsidP="00C27AA2">
            <w:pPr>
              <w:spacing w:line="276" w:lineRule="auto"/>
              <w:ind w:hanging="2"/>
              <w:rPr>
                <w:rFonts w:ascii="Times New Roman" w:eastAsia="Times New Roman" w:hAnsi="Times New Roman" w:cs="Times New Roman"/>
                <w:color w:val="000000"/>
              </w:rPr>
            </w:pPr>
            <w:r w:rsidRPr="00606A0C">
              <w:rPr>
                <w:rFonts w:ascii="Times New Roman" w:eastAsia="Times New Roman" w:hAnsi="Times New Roman" w:cs="Times New Roman"/>
                <w:color w:val="000000"/>
              </w:rPr>
              <w:t>Measured by the standard deviation of daily stock returns, reflecting the variability in stock prices and uncertainty in the company’s future performance.</w:t>
            </w:r>
          </w:p>
          <w:p w14:paraId="65245D05" w14:textId="34BFB2CC" w:rsidR="005261B1" w:rsidRPr="00606A0C" w:rsidRDefault="005261B1" w:rsidP="00C27AA2">
            <w:pPr>
              <w:spacing w:line="276" w:lineRule="auto"/>
              <w:ind w:hanging="2"/>
              <w:rPr>
                <w:rFonts w:ascii="Times New Roman" w:eastAsia="Times New Roman" w:hAnsi="Times New Roman" w:cs="Times New Roman"/>
                <w:color w:val="000000"/>
              </w:rPr>
            </w:pPr>
          </w:p>
        </w:tc>
        <w:tc>
          <w:tcPr>
            <w:tcW w:w="1978" w:type="dxa"/>
          </w:tcPr>
          <w:p w14:paraId="135BF7B7" w14:textId="4B7DCF55" w:rsidR="008C7AA7" w:rsidRPr="00606A0C" w:rsidRDefault="00E8109B" w:rsidP="00C27AA2">
            <w:pPr>
              <w:spacing w:line="276" w:lineRule="auto"/>
              <w:ind w:hanging="2"/>
              <w:rPr>
                <w:rFonts w:ascii="Times New Roman" w:eastAsia="Times New Roman" w:hAnsi="Times New Roman" w:cs="Times New Roman"/>
                <w:color w:val="000000"/>
              </w:rPr>
            </w:pPr>
            <w:r w:rsidRPr="00606A0C">
              <w:rPr>
                <w:rFonts w:ascii="Times New Roman" w:eastAsia="Times New Roman" w:hAnsi="Times New Roman" w:cs="Times New Roman"/>
                <w:color w:val="000000"/>
              </w:rPr>
              <w:t>Originally Markowitz (1952)</w:t>
            </w:r>
            <w:r w:rsidR="008C7AA7" w:rsidRPr="00606A0C">
              <w:rPr>
                <w:rFonts w:ascii="Times New Roman" w:eastAsia="Times New Roman" w:hAnsi="Times New Roman" w:cs="Times New Roman"/>
                <w:color w:val="000000"/>
              </w:rPr>
              <w:t xml:space="preserve"> from </w:t>
            </w:r>
            <w:r w:rsidR="003C6F34" w:rsidRPr="00606A0C">
              <w:rPr>
                <w:rFonts w:ascii="Times New Roman" w:eastAsia="Times New Roman" w:hAnsi="Times New Roman" w:cs="Times New Roman"/>
                <w:color w:val="000000"/>
              </w:rPr>
              <w:fldChar w:fldCharType="begin"/>
            </w:r>
            <w:r w:rsidR="003C6F34" w:rsidRPr="00606A0C">
              <w:rPr>
                <w:rFonts w:ascii="Times New Roman" w:eastAsia="Times New Roman" w:hAnsi="Times New Roman" w:cs="Times New Roman"/>
                <w:color w:val="000000"/>
              </w:rPr>
              <w:instrText xml:space="preserve"> ADDIN ZOTERO_ITEM CSL_CITATION {"citationID":"YyAHr4Ri","properties":{"formattedCitation":"(Jogiyanto, 2017)","plainCitation":"(Jogiyanto, 2017)","noteIndex":0},"citationItems":[{"id":28,"uris":["http://zotero.org/users/10852507/items/Q44PGCRV"],"itemData":{"id":28,"type":"book","edition":"11","event-place":"Yogyakarta","ISBN":"978-979-503-613-5","publisher":"BPFE","publisher-place":"Yogyakarta","title":"Teori Portofolio dan Analisis Investasi","author":[{"family":"Jogiyanto","given":""}],"issued":{"date-parts":[["2017"]]}}}],"schema":"https://github.com/citation-style-language/schema/raw/master/csl-citation.json"} </w:instrText>
            </w:r>
            <w:r w:rsidR="003C6F34" w:rsidRPr="00606A0C">
              <w:rPr>
                <w:rFonts w:ascii="Times New Roman" w:eastAsia="Times New Roman" w:hAnsi="Times New Roman" w:cs="Times New Roman"/>
                <w:color w:val="000000"/>
              </w:rPr>
              <w:fldChar w:fldCharType="separate"/>
            </w:r>
            <w:r w:rsidR="003C6F34" w:rsidRPr="00606A0C">
              <w:rPr>
                <w:rFonts w:ascii="Times New Roman" w:hAnsi="Times New Roman" w:cs="Times New Roman"/>
              </w:rPr>
              <w:t>(</w:t>
            </w:r>
            <w:hyperlink w:anchor="Jogiyanto" w:history="1">
              <w:r w:rsidR="003C6F34" w:rsidRPr="00606A0C">
                <w:rPr>
                  <w:rStyle w:val="Hyperlink"/>
                  <w:rFonts w:ascii="Times New Roman" w:hAnsi="Times New Roman" w:cs="Times New Roman"/>
                  <w:u w:val="none"/>
                </w:rPr>
                <w:t>Jogiyanto, 2017</w:t>
              </w:r>
            </w:hyperlink>
            <w:r w:rsidR="003C6F34" w:rsidRPr="00606A0C">
              <w:rPr>
                <w:rFonts w:ascii="Times New Roman" w:hAnsi="Times New Roman" w:cs="Times New Roman"/>
              </w:rPr>
              <w:t>)</w:t>
            </w:r>
            <w:r w:rsidR="003C6F34" w:rsidRPr="00606A0C">
              <w:rPr>
                <w:rFonts w:ascii="Times New Roman" w:eastAsia="Times New Roman" w:hAnsi="Times New Roman" w:cs="Times New Roman"/>
                <w:color w:val="000000"/>
              </w:rPr>
              <w:fldChar w:fldCharType="end"/>
            </w:r>
          </w:p>
        </w:tc>
      </w:tr>
      <w:tr w:rsidR="007A0399" w:rsidRPr="00935C7F" w14:paraId="2D913E7E" w14:textId="4A3ADF27" w:rsidTr="00C27AA2">
        <w:trPr>
          <w:trHeight w:val="870"/>
          <w:jc w:val="center"/>
        </w:trPr>
        <w:tc>
          <w:tcPr>
            <w:tcW w:w="1685" w:type="dxa"/>
            <w:hideMark/>
          </w:tcPr>
          <w:p w14:paraId="1D32C878" w14:textId="77777777" w:rsidR="007A0399" w:rsidRPr="005261B1" w:rsidRDefault="007A0399" w:rsidP="00C27AA2">
            <w:pPr>
              <w:spacing w:line="276" w:lineRule="auto"/>
              <w:ind w:hanging="2"/>
              <w:rPr>
                <w:rFonts w:ascii="Times New Roman" w:eastAsia="Times New Roman" w:hAnsi="Times New Roman" w:cs="Times New Roman"/>
                <w:bCs/>
                <w:color w:val="000000"/>
              </w:rPr>
            </w:pPr>
            <w:r w:rsidRPr="005261B1">
              <w:rPr>
                <w:rFonts w:ascii="Times New Roman" w:eastAsia="Times New Roman" w:hAnsi="Times New Roman" w:cs="Times New Roman"/>
                <w:bCs/>
                <w:color w:val="000000"/>
              </w:rPr>
              <w:t>Control Variables</w:t>
            </w:r>
          </w:p>
        </w:tc>
        <w:tc>
          <w:tcPr>
            <w:tcW w:w="1822" w:type="dxa"/>
            <w:hideMark/>
          </w:tcPr>
          <w:p w14:paraId="404153FF" w14:textId="77777777" w:rsidR="007A0399" w:rsidRPr="00606A0C" w:rsidRDefault="007A0399" w:rsidP="00C27AA2">
            <w:pPr>
              <w:spacing w:line="276" w:lineRule="auto"/>
              <w:ind w:hanging="2"/>
              <w:rPr>
                <w:rFonts w:ascii="Times New Roman" w:eastAsia="Times New Roman" w:hAnsi="Times New Roman" w:cs="Times New Roman"/>
                <w:color w:val="000000"/>
              </w:rPr>
            </w:pPr>
            <w:r w:rsidRPr="00606A0C">
              <w:rPr>
                <w:rFonts w:ascii="Times New Roman" w:eastAsia="Times New Roman" w:hAnsi="Times New Roman" w:cs="Times New Roman"/>
                <w:color w:val="000000"/>
              </w:rPr>
              <w:t>Audit Opinion (AUOP)</w:t>
            </w:r>
          </w:p>
        </w:tc>
        <w:tc>
          <w:tcPr>
            <w:tcW w:w="3690" w:type="dxa"/>
            <w:hideMark/>
          </w:tcPr>
          <w:p w14:paraId="25404484" w14:textId="77777777" w:rsidR="007A0399" w:rsidRPr="00606A0C" w:rsidRDefault="007A0399" w:rsidP="00C27AA2">
            <w:pPr>
              <w:spacing w:line="276" w:lineRule="auto"/>
              <w:ind w:hanging="2"/>
              <w:rPr>
                <w:rFonts w:ascii="Times New Roman" w:eastAsia="Times New Roman" w:hAnsi="Times New Roman" w:cs="Times New Roman"/>
                <w:color w:val="000000"/>
              </w:rPr>
            </w:pPr>
            <w:r w:rsidRPr="00606A0C">
              <w:rPr>
                <w:rFonts w:ascii="Times New Roman" w:eastAsia="Times New Roman" w:hAnsi="Times New Roman" w:cs="Times New Roman"/>
                <w:color w:val="000000"/>
              </w:rPr>
              <w:t>Dummy variable: 1 if the company has a clean audit opinion, 0 otherwise.</w:t>
            </w:r>
          </w:p>
        </w:tc>
        <w:tc>
          <w:tcPr>
            <w:tcW w:w="1978" w:type="dxa"/>
          </w:tcPr>
          <w:p w14:paraId="4F8FB36F" w14:textId="46502CA6" w:rsidR="007A0399" w:rsidRPr="00606A0C" w:rsidRDefault="003C6F34" w:rsidP="00C27AA2">
            <w:pPr>
              <w:spacing w:line="276" w:lineRule="auto"/>
              <w:ind w:hanging="2"/>
              <w:rPr>
                <w:rFonts w:ascii="Times New Roman" w:eastAsia="Times New Roman" w:hAnsi="Times New Roman" w:cs="Times New Roman"/>
                <w:color w:val="000000"/>
              </w:rPr>
            </w:pPr>
            <w:r w:rsidRPr="00606A0C">
              <w:rPr>
                <w:rFonts w:ascii="Times New Roman" w:eastAsia="Times New Roman" w:hAnsi="Times New Roman" w:cs="Times New Roman"/>
                <w:color w:val="000000"/>
              </w:rPr>
              <w:fldChar w:fldCharType="begin"/>
            </w:r>
            <w:r w:rsidRPr="00606A0C">
              <w:rPr>
                <w:rFonts w:ascii="Times New Roman" w:eastAsia="Times New Roman" w:hAnsi="Times New Roman" w:cs="Times New Roman"/>
                <w:color w:val="000000"/>
              </w:rPr>
              <w:instrText xml:space="preserve"> ADDIN ZOTERO_ITEM CSL_CITATION {"citationID":"Meym3ucZ","properties":{"formattedCitation":"(Siagian, 2023)","plainCitation":"(Siagian, 2023)","noteIndex":0},"citationItems":[{"id":768,"uris":["http://zotero.org/users/10852507/items/KKPPTJQ4"],"itemData":{"id":768,"type":"article-journal","abstract":"This study aims to determine whether auditor’s reputation and auditor’s opinion have an effect on stock prices in the following year in companies listed on the IDX Main Board Index from 2016 to 2020. Regression analysis is used in this study by adding control variables and year fixed effect. The data used in this study are obtained from the companies listed in the IDX Main Board Index. Panel data are taken from the companies’ annual reports for the period of 2016-2020. The total number of samples is 200 companies. The results show that, partially, auditor’s reputation has an effect on stock prices in the following year, while auditor’s opinion has no effect on stock prices in the following year. However, simultaneously, both variables have an effect on stock prices in the following year. This means that the election of the BIG4 Accounting Firms as the company’s auditor has proven to increase the value of companies listed on the IDX Main Board Index in the following year.","container-title":"The Indonesian Accounting Review","DOI":"10.14414/tiar.v13i2.3345","ISSN":"2302-822X, 2086-3802","issue":"2","journalAbbreviation":"TIAR","language":"en","page":"221-232","source":"DOI.org (Crossref)","title":"Auditor's Reputation and Auditor's Opinion on Stock Prices: Evidence from Indonesia's Main Board Index","title-short":"Auditor's Reputation and Auditor's Opinion on Stock Prices","volume":"13","author":[{"family":"Siagian","given":"Valentine"}],"issued":{"date-parts":[["2023",8,10]]}}}],"schema":"https://github.com/citation-style-language/schema/raw/master/csl-citation.json"} </w:instrText>
            </w:r>
            <w:r w:rsidRPr="00606A0C">
              <w:rPr>
                <w:rFonts w:ascii="Times New Roman" w:eastAsia="Times New Roman" w:hAnsi="Times New Roman" w:cs="Times New Roman"/>
                <w:color w:val="000000"/>
              </w:rPr>
              <w:fldChar w:fldCharType="separate"/>
            </w:r>
            <w:r w:rsidRPr="00606A0C">
              <w:rPr>
                <w:rFonts w:ascii="Times New Roman" w:hAnsi="Times New Roman" w:cs="Times New Roman"/>
              </w:rPr>
              <w:t>(</w:t>
            </w:r>
            <w:hyperlink w:anchor="Siagian" w:history="1">
              <w:r w:rsidRPr="00606A0C">
                <w:rPr>
                  <w:rStyle w:val="Hyperlink"/>
                  <w:rFonts w:ascii="Times New Roman" w:hAnsi="Times New Roman" w:cs="Times New Roman"/>
                  <w:u w:val="none"/>
                </w:rPr>
                <w:t>Siagian, 2023</w:t>
              </w:r>
            </w:hyperlink>
            <w:r w:rsidRPr="00606A0C">
              <w:rPr>
                <w:rFonts w:ascii="Times New Roman" w:hAnsi="Times New Roman" w:cs="Times New Roman"/>
              </w:rPr>
              <w:t>)</w:t>
            </w:r>
            <w:r w:rsidRPr="00606A0C">
              <w:rPr>
                <w:rFonts w:ascii="Times New Roman" w:eastAsia="Times New Roman" w:hAnsi="Times New Roman" w:cs="Times New Roman"/>
                <w:color w:val="000000"/>
              </w:rPr>
              <w:fldChar w:fldCharType="end"/>
            </w:r>
            <w:r w:rsidRPr="00606A0C">
              <w:rPr>
                <w:rFonts w:ascii="Times New Roman" w:eastAsia="Times New Roman" w:hAnsi="Times New Roman" w:cs="Times New Roman"/>
                <w:color w:val="000000"/>
              </w:rPr>
              <w:t xml:space="preserve">; </w:t>
            </w:r>
            <w:r w:rsidRPr="00606A0C">
              <w:rPr>
                <w:rFonts w:ascii="Times New Roman" w:eastAsia="Times New Roman" w:hAnsi="Times New Roman" w:cs="Times New Roman"/>
                <w:color w:val="000000"/>
              </w:rPr>
              <w:fldChar w:fldCharType="begin"/>
            </w:r>
            <w:r w:rsidR="00354759" w:rsidRPr="00606A0C">
              <w:rPr>
                <w:rFonts w:ascii="Times New Roman" w:eastAsia="Times New Roman" w:hAnsi="Times New Roman" w:cs="Times New Roman"/>
                <w:color w:val="000000"/>
              </w:rPr>
              <w:instrText xml:space="preserve"> ADDIN ZOTERO_ITEM CSL_CITATION {"citationID":"IQLXIcTH","properties":{"formattedCitation":"(Alverina &amp; Hadiprajitno, n.d.)","plainCitation":"(Alverina &amp; Hadiprajitno, n.d.)","dontUpdate":true,"noteIndex":0},"citationItems":[{"id":770,"uris":["http://zotero.org/users/10852507/items/RE73T23R"],"itemData":{"id":770,"type":"article-journal","abstract":"This study aims to examine the effect of profitability, financial distress, company size, auditor reputation and audit opinion on Audit Report Lag (ARL). The variables used in this study are profitability, financial distress, company size, auditor reputation and audit opinion as independent variables, and audit report lag (ARL) as the dependent variable.","issue":"1","language":"id","source":"Zotero","title":"PENGARUH PROFITABILITAS, FINANCIAL DISTRESS, UKURAN PERUSAHAAN, REPUTASI AUDITOR DAN OPINI AUDIT TERHADAP AUDIT REPORT LAG","volume":"11","author":[{"family":"Alverina","given":"Gabriella Cindy Ananda"},{"family":"Hadiprajitno","given":"Paulus Th Basuki"}],"issued":{"date-parts":[["2022"]]}}}],"schema":"https://github.com/citation-style-language/schema/raw/master/csl-citation.json"} </w:instrText>
            </w:r>
            <w:r w:rsidRPr="00606A0C">
              <w:rPr>
                <w:rFonts w:ascii="Times New Roman" w:eastAsia="Times New Roman" w:hAnsi="Times New Roman" w:cs="Times New Roman"/>
                <w:color w:val="000000"/>
              </w:rPr>
              <w:fldChar w:fldCharType="separate"/>
            </w:r>
            <w:r w:rsidRPr="00606A0C">
              <w:rPr>
                <w:rFonts w:ascii="Times New Roman" w:hAnsi="Times New Roman" w:cs="Times New Roman"/>
              </w:rPr>
              <w:t>(</w:t>
            </w:r>
            <w:hyperlink w:anchor="Alverina" w:history="1">
              <w:r w:rsidRPr="00606A0C">
                <w:rPr>
                  <w:rStyle w:val="Hyperlink"/>
                  <w:rFonts w:ascii="Times New Roman" w:hAnsi="Times New Roman" w:cs="Times New Roman"/>
                  <w:u w:val="none"/>
                </w:rPr>
                <w:t>Alverina &amp; Hadiprajitno, 2022</w:t>
              </w:r>
            </w:hyperlink>
            <w:r w:rsidRPr="00606A0C">
              <w:rPr>
                <w:rFonts w:ascii="Times New Roman" w:hAnsi="Times New Roman" w:cs="Times New Roman"/>
              </w:rPr>
              <w:t>)</w:t>
            </w:r>
            <w:r w:rsidRPr="00606A0C">
              <w:rPr>
                <w:rFonts w:ascii="Times New Roman" w:eastAsia="Times New Roman" w:hAnsi="Times New Roman" w:cs="Times New Roman"/>
                <w:color w:val="000000"/>
              </w:rPr>
              <w:fldChar w:fldCharType="end"/>
            </w:r>
          </w:p>
        </w:tc>
      </w:tr>
      <w:tr w:rsidR="007A0399" w:rsidRPr="00935C7F" w14:paraId="66FA62BE" w14:textId="56E3821D" w:rsidTr="00C27AA2">
        <w:trPr>
          <w:trHeight w:val="870"/>
          <w:jc w:val="center"/>
        </w:trPr>
        <w:tc>
          <w:tcPr>
            <w:tcW w:w="1685" w:type="dxa"/>
            <w:hideMark/>
          </w:tcPr>
          <w:p w14:paraId="381726A4" w14:textId="77777777" w:rsidR="007A0399" w:rsidRPr="00606A0C" w:rsidRDefault="007A0399" w:rsidP="00C27AA2">
            <w:pPr>
              <w:spacing w:line="276" w:lineRule="auto"/>
              <w:ind w:hanging="2"/>
              <w:rPr>
                <w:rFonts w:ascii="Times New Roman" w:eastAsia="Times New Roman" w:hAnsi="Times New Roman" w:cs="Times New Roman"/>
                <w:color w:val="000000"/>
              </w:rPr>
            </w:pPr>
          </w:p>
        </w:tc>
        <w:tc>
          <w:tcPr>
            <w:tcW w:w="1822" w:type="dxa"/>
            <w:hideMark/>
          </w:tcPr>
          <w:p w14:paraId="6B322443" w14:textId="77777777" w:rsidR="007A0399" w:rsidRPr="00606A0C" w:rsidRDefault="007A0399" w:rsidP="00C27AA2">
            <w:pPr>
              <w:spacing w:line="276" w:lineRule="auto"/>
              <w:ind w:hanging="2"/>
              <w:rPr>
                <w:rFonts w:ascii="Times New Roman" w:eastAsia="Times New Roman" w:hAnsi="Times New Roman" w:cs="Times New Roman"/>
                <w:color w:val="000000"/>
              </w:rPr>
            </w:pPr>
            <w:r w:rsidRPr="00606A0C">
              <w:rPr>
                <w:rFonts w:ascii="Times New Roman" w:eastAsia="Times New Roman" w:hAnsi="Times New Roman" w:cs="Times New Roman"/>
                <w:color w:val="000000"/>
              </w:rPr>
              <w:t>Big 4 Auditor (BIG4)</w:t>
            </w:r>
          </w:p>
        </w:tc>
        <w:tc>
          <w:tcPr>
            <w:tcW w:w="3690" w:type="dxa"/>
            <w:hideMark/>
          </w:tcPr>
          <w:p w14:paraId="7DA61180" w14:textId="77777777" w:rsidR="007A0399" w:rsidRPr="00606A0C" w:rsidRDefault="007A0399" w:rsidP="00C27AA2">
            <w:pPr>
              <w:spacing w:line="276" w:lineRule="auto"/>
              <w:ind w:hanging="2"/>
              <w:rPr>
                <w:rFonts w:ascii="Times New Roman" w:eastAsia="Times New Roman" w:hAnsi="Times New Roman" w:cs="Times New Roman"/>
                <w:color w:val="000000"/>
              </w:rPr>
            </w:pPr>
            <w:r w:rsidRPr="00606A0C">
              <w:rPr>
                <w:rFonts w:ascii="Times New Roman" w:eastAsia="Times New Roman" w:hAnsi="Times New Roman" w:cs="Times New Roman"/>
                <w:color w:val="000000"/>
              </w:rPr>
              <w:t>Dummy variable: 1 if the company is audited by a Big 4 firm, 0 otherwise.</w:t>
            </w:r>
          </w:p>
        </w:tc>
        <w:tc>
          <w:tcPr>
            <w:tcW w:w="1978" w:type="dxa"/>
          </w:tcPr>
          <w:p w14:paraId="710375BD" w14:textId="51E6EDE3" w:rsidR="007A0399" w:rsidRPr="00606A0C" w:rsidRDefault="00354759" w:rsidP="00C27AA2">
            <w:pPr>
              <w:spacing w:line="276" w:lineRule="auto"/>
              <w:ind w:hanging="2"/>
              <w:rPr>
                <w:rFonts w:ascii="Times New Roman" w:eastAsia="Times New Roman" w:hAnsi="Times New Roman" w:cs="Times New Roman"/>
                <w:color w:val="000000"/>
              </w:rPr>
            </w:pPr>
            <w:r w:rsidRPr="00606A0C">
              <w:rPr>
                <w:rFonts w:ascii="Times New Roman" w:eastAsia="Times New Roman" w:hAnsi="Times New Roman" w:cs="Times New Roman"/>
                <w:color w:val="000000"/>
              </w:rPr>
              <w:fldChar w:fldCharType="begin"/>
            </w:r>
            <w:r w:rsidRPr="00606A0C">
              <w:rPr>
                <w:rFonts w:ascii="Times New Roman" w:eastAsia="Times New Roman" w:hAnsi="Times New Roman" w:cs="Times New Roman"/>
                <w:color w:val="000000"/>
              </w:rPr>
              <w:instrText xml:space="preserve"> ADDIN ZOTERO_ITEM CSL_CITATION {"citationID":"tt6iqIK3","properties":{"formattedCitation":"(Alverina &amp; Hadiprajitno, 2022)","plainCitation":"(Alverina &amp; Hadiprajitno, 2022)","noteIndex":0},"citationItems":[{"id":770,"uris":["http://zotero.org/users/10852507/items/RE73T23R"],"itemData":{"id":770,"type":"article-journal","abstract":"This study aims to examine the effect of profitability, financial distress, company size, auditor reputation and audit opinion on Audit Report Lag (ARL). The variables used in this study are profitability, financial distress, company size, auditor reputation and audit opinion as independent variables, and audit report lag (ARL) as the dependent variable.","issue":"1","language":"id","source":"Zotero","title":"PENGARUH PROFITABILITAS, FINANCIAL DISTRESS, UKURAN PERUSAHAAN, REPUTASI AUDITOR DAN OPINI AUDIT TERHADAP AUDIT REPORT LAG","volume":"11","author":[{"family":"Alverina","given":"Gabriella Cindy Ananda"},{"family":"Hadiprajitno","given":"Paulus Th Basuki"}],"issued":{"date-parts":[["2022"]]}}}],"schema":"https://github.com/citation-style-language/schema/raw/master/csl-citation.json"} </w:instrText>
            </w:r>
            <w:r w:rsidRPr="00606A0C">
              <w:rPr>
                <w:rFonts w:ascii="Times New Roman" w:eastAsia="Times New Roman" w:hAnsi="Times New Roman" w:cs="Times New Roman"/>
                <w:color w:val="000000"/>
              </w:rPr>
              <w:fldChar w:fldCharType="separate"/>
            </w:r>
            <w:r w:rsidRPr="00606A0C">
              <w:rPr>
                <w:rFonts w:ascii="Times New Roman" w:hAnsi="Times New Roman" w:cs="Times New Roman"/>
              </w:rPr>
              <w:t>(</w:t>
            </w:r>
            <w:hyperlink w:anchor="Alverina" w:history="1">
              <w:r w:rsidRPr="00606A0C">
                <w:rPr>
                  <w:rStyle w:val="Hyperlink"/>
                  <w:rFonts w:ascii="Times New Roman" w:hAnsi="Times New Roman" w:cs="Times New Roman"/>
                  <w:u w:val="none"/>
                </w:rPr>
                <w:t>Alverina &amp; Hadiprajitno, 2022</w:t>
              </w:r>
            </w:hyperlink>
            <w:r w:rsidRPr="00606A0C">
              <w:rPr>
                <w:rFonts w:ascii="Times New Roman" w:hAnsi="Times New Roman" w:cs="Times New Roman"/>
              </w:rPr>
              <w:t>)</w:t>
            </w:r>
            <w:r w:rsidRPr="00606A0C">
              <w:rPr>
                <w:rFonts w:ascii="Times New Roman" w:eastAsia="Times New Roman" w:hAnsi="Times New Roman" w:cs="Times New Roman"/>
                <w:color w:val="000000"/>
              </w:rPr>
              <w:fldChar w:fldCharType="end"/>
            </w:r>
            <w:r w:rsidRPr="00606A0C">
              <w:rPr>
                <w:rFonts w:ascii="Times New Roman" w:eastAsia="Times New Roman" w:hAnsi="Times New Roman" w:cs="Times New Roman"/>
                <w:color w:val="000000"/>
              </w:rPr>
              <w:t xml:space="preserve">; </w:t>
            </w:r>
            <w:r w:rsidRPr="00606A0C">
              <w:rPr>
                <w:rFonts w:ascii="Times New Roman" w:eastAsia="Times New Roman" w:hAnsi="Times New Roman" w:cs="Times New Roman"/>
                <w:color w:val="000000"/>
              </w:rPr>
              <w:fldChar w:fldCharType="begin"/>
            </w:r>
            <w:r w:rsidRPr="00606A0C">
              <w:rPr>
                <w:rFonts w:ascii="Times New Roman" w:eastAsia="Times New Roman" w:hAnsi="Times New Roman" w:cs="Times New Roman"/>
                <w:color w:val="000000"/>
              </w:rPr>
              <w:instrText xml:space="preserve"> ADDIN ZOTERO_ITEM CSL_CITATION {"citationID":"cFbc6sZk","properties":{"formattedCitation":"(Putri &amp; Nursiam, 2021)","plainCitation":"(Putri &amp; Nursiam, 2021)","noteIndex":0},"citationItems":[{"id":772,"uris":["http://zotero.org/users/10852507/items/94K9KBGE"],"itemData":{"id":772,"type":"article-journal","abstract":"The study aims to determine the effect of the size of Public Accounting Firm (KAP), Audit Opinion, Financial Distress, and Change of Manager in real estate and property companies listed in the Indonesia Stock Exchange (BEI) for the 2017-2019 period. The data used are secondary. The total sample  from the observation is 123 sample obtained with the purposive sampling method. The research used logistic regression analysis techniques. The result of this research indicate that the size of the Public Accounting Firm (KAP) , Financial Distress, Change of Manager had no effect on auditor switching, and Audit Opinion affect on auditor switching","container-title":"Perspektif Akuntansi","DOI":"10.24246/persi.v4i3.p277-296","ISSN":"2623-0186, 2623-0194","issue":"3","journalAbbreviation":"persi","language":"id","license":"http://creativecommons.org/licenses/by/4.0","page":"277-296","source":"DOI.org (Crossref)","title":"Ukuran Kantor Akuntan Publik (KAP), Opini Auditor, Financial Distress, dan Pergantian Manajer pada Auditor Switching","volume":"4","author":[{"family":"Putri","given":"Devi Tiara"},{"family":"Nursiam","given":"Nursiam"}],"issued":{"date-parts":[["2021",10,30]]}}}],"schema":"https://github.com/citation-style-language/schema/raw/master/csl-citation.json"} </w:instrText>
            </w:r>
            <w:r w:rsidRPr="00606A0C">
              <w:rPr>
                <w:rFonts w:ascii="Times New Roman" w:eastAsia="Times New Roman" w:hAnsi="Times New Roman" w:cs="Times New Roman"/>
                <w:color w:val="000000"/>
              </w:rPr>
              <w:fldChar w:fldCharType="separate"/>
            </w:r>
            <w:r w:rsidRPr="00606A0C">
              <w:rPr>
                <w:rFonts w:ascii="Times New Roman" w:hAnsi="Times New Roman" w:cs="Times New Roman"/>
              </w:rPr>
              <w:t>(</w:t>
            </w:r>
            <w:hyperlink w:anchor="Putri" w:history="1">
              <w:r w:rsidRPr="00606A0C">
                <w:rPr>
                  <w:rStyle w:val="Hyperlink"/>
                  <w:rFonts w:ascii="Times New Roman" w:hAnsi="Times New Roman" w:cs="Times New Roman"/>
                  <w:u w:val="none"/>
                </w:rPr>
                <w:t>Putri &amp; Nursiam, 2021</w:t>
              </w:r>
            </w:hyperlink>
            <w:r w:rsidRPr="00606A0C">
              <w:rPr>
                <w:rFonts w:ascii="Times New Roman" w:hAnsi="Times New Roman" w:cs="Times New Roman"/>
              </w:rPr>
              <w:t>)</w:t>
            </w:r>
            <w:r w:rsidRPr="00606A0C">
              <w:rPr>
                <w:rFonts w:ascii="Times New Roman" w:eastAsia="Times New Roman" w:hAnsi="Times New Roman" w:cs="Times New Roman"/>
                <w:color w:val="000000"/>
              </w:rPr>
              <w:fldChar w:fldCharType="end"/>
            </w:r>
          </w:p>
        </w:tc>
      </w:tr>
      <w:tr w:rsidR="007A0399" w:rsidRPr="00935C7F" w14:paraId="1079FD9E" w14:textId="2CC8C062" w:rsidTr="00C27AA2">
        <w:trPr>
          <w:trHeight w:val="580"/>
          <w:jc w:val="center"/>
        </w:trPr>
        <w:tc>
          <w:tcPr>
            <w:tcW w:w="1685" w:type="dxa"/>
            <w:tcBorders>
              <w:bottom w:val="single" w:sz="4" w:space="0" w:color="auto"/>
            </w:tcBorders>
            <w:hideMark/>
          </w:tcPr>
          <w:p w14:paraId="2EAB0DFB" w14:textId="77777777" w:rsidR="007A0399" w:rsidRPr="00606A0C" w:rsidRDefault="007A0399" w:rsidP="00C27AA2">
            <w:pPr>
              <w:spacing w:line="276" w:lineRule="auto"/>
              <w:ind w:hanging="2"/>
              <w:rPr>
                <w:rFonts w:ascii="Times New Roman" w:eastAsia="Times New Roman" w:hAnsi="Times New Roman" w:cs="Times New Roman"/>
                <w:color w:val="000000"/>
              </w:rPr>
            </w:pPr>
          </w:p>
        </w:tc>
        <w:tc>
          <w:tcPr>
            <w:tcW w:w="1822" w:type="dxa"/>
            <w:tcBorders>
              <w:bottom w:val="single" w:sz="4" w:space="0" w:color="auto"/>
            </w:tcBorders>
            <w:hideMark/>
          </w:tcPr>
          <w:p w14:paraId="734432CB" w14:textId="77777777" w:rsidR="007A0399" w:rsidRPr="00606A0C" w:rsidRDefault="007A0399" w:rsidP="00C27AA2">
            <w:pPr>
              <w:spacing w:line="276" w:lineRule="auto"/>
              <w:ind w:hanging="2"/>
              <w:rPr>
                <w:rFonts w:ascii="Times New Roman" w:eastAsia="Times New Roman" w:hAnsi="Times New Roman" w:cs="Times New Roman"/>
                <w:color w:val="000000"/>
              </w:rPr>
            </w:pPr>
            <w:r w:rsidRPr="00606A0C">
              <w:rPr>
                <w:rFonts w:ascii="Times New Roman" w:eastAsia="Times New Roman" w:hAnsi="Times New Roman" w:cs="Times New Roman"/>
                <w:color w:val="000000"/>
              </w:rPr>
              <w:t>Volume Trading (TVOL)</w:t>
            </w:r>
          </w:p>
        </w:tc>
        <w:tc>
          <w:tcPr>
            <w:tcW w:w="3690" w:type="dxa"/>
            <w:tcBorders>
              <w:bottom w:val="single" w:sz="4" w:space="0" w:color="auto"/>
            </w:tcBorders>
            <w:hideMark/>
          </w:tcPr>
          <w:p w14:paraId="1A5D8312" w14:textId="286C44B2" w:rsidR="007A0399" w:rsidRPr="00606A0C" w:rsidRDefault="007A0399" w:rsidP="00C27AA2">
            <w:pPr>
              <w:spacing w:line="276" w:lineRule="auto"/>
              <w:ind w:hanging="2"/>
              <w:rPr>
                <w:rFonts w:ascii="Times New Roman" w:eastAsia="Times New Roman" w:hAnsi="Times New Roman" w:cs="Times New Roman"/>
                <w:color w:val="000000"/>
              </w:rPr>
            </w:pPr>
            <w:r w:rsidRPr="00606A0C">
              <w:rPr>
                <w:rFonts w:ascii="Times New Roman" w:eastAsia="Times New Roman" w:hAnsi="Times New Roman" w:cs="Times New Roman"/>
                <w:color w:val="000000"/>
              </w:rPr>
              <w:t xml:space="preserve">Measured by the natural logarithm of </w:t>
            </w:r>
            <w:r w:rsidR="00706D1A" w:rsidRPr="00606A0C">
              <w:rPr>
                <w:rFonts w:ascii="Times New Roman" w:eastAsia="Times New Roman" w:hAnsi="Times New Roman" w:cs="Times New Roman"/>
                <w:color w:val="000000"/>
              </w:rPr>
              <w:t xml:space="preserve">the </w:t>
            </w:r>
            <w:r w:rsidRPr="00606A0C">
              <w:rPr>
                <w:rFonts w:ascii="Times New Roman" w:eastAsia="Times New Roman" w:hAnsi="Times New Roman" w:cs="Times New Roman"/>
                <w:color w:val="000000"/>
              </w:rPr>
              <w:t>daily average of trading volume of the company's stock.</w:t>
            </w:r>
          </w:p>
        </w:tc>
        <w:tc>
          <w:tcPr>
            <w:tcW w:w="1978" w:type="dxa"/>
            <w:tcBorders>
              <w:bottom w:val="single" w:sz="4" w:space="0" w:color="auto"/>
            </w:tcBorders>
          </w:tcPr>
          <w:p w14:paraId="2C8938A8" w14:textId="095D2113" w:rsidR="007A0399" w:rsidRPr="00606A0C" w:rsidRDefault="00E81098" w:rsidP="00C27AA2">
            <w:pPr>
              <w:spacing w:line="276" w:lineRule="auto"/>
              <w:ind w:hanging="2"/>
              <w:rPr>
                <w:rFonts w:ascii="Times New Roman" w:eastAsia="Times New Roman" w:hAnsi="Times New Roman" w:cs="Times New Roman"/>
                <w:color w:val="000000"/>
              </w:rPr>
            </w:pPr>
            <w:r w:rsidRPr="00606A0C">
              <w:rPr>
                <w:rFonts w:ascii="Times New Roman" w:eastAsia="Times New Roman" w:hAnsi="Times New Roman" w:cs="Times New Roman"/>
                <w:color w:val="000000"/>
              </w:rPr>
              <w:fldChar w:fldCharType="begin"/>
            </w:r>
            <w:r w:rsidR="00333370" w:rsidRPr="00606A0C">
              <w:rPr>
                <w:rFonts w:ascii="Times New Roman" w:eastAsia="Times New Roman" w:hAnsi="Times New Roman" w:cs="Times New Roman"/>
                <w:color w:val="000000"/>
              </w:rPr>
              <w:instrText xml:space="preserve"> ADDIN ZOTERO_ITEM CSL_CITATION {"citationID":"wowKvthW","properties":{"formattedCitation":"(Septyadi &amp; Bwarleling, 2020)","plainCitation":"(Septyadi &amp; Bwarleling, 2020)","noteIndex":0},"citationItems":[{"id":"bBwhO6sn/Y9kZQMwm","uris":["http://zotero.org/users/10852507/items/99PP8JNZ"],"itemData":{"id":785,"type":"article-journal","abstract":"This study aims to determine the influence of Stock Trading Volume, Leverage, and Dividend Policy both simultaneously and partially from LQ45 Index companies listed on the Indonesia Stock Exchange in 2016-2018. The analysis technique used is multiple linear regression analysis using the IBM SPSS 26 program. This type of research is a quantitative study using secondary data, there are 18 companies as a sample of research data collected by purposive sampling technique. The dependent variable in this study is Stock Price Volatility, while the independent variables are Stock Trading Volume, Leverage, and Dividend Policy. The results showed that partially Stock Trading Volume has a positive and significant effect on Stock Price Volatility. Leverage and Dividend Policy have no significant effect on Stock Price Volatility. It is expected that the results of this study can be taken into consideration for investors to choose the right type of investment based on the level of stock price volatility that is influenced by various factors, especially stock trading volume..","container-title":"AKURASI: Jurnal Riset Akuntansi dan Keuangan","DOI":"10.36407/akurasi.v2i3.251","ISSN":"2685-2888","issue":"3","journalAbbreviation":"AKURASI","language":"id","license":"https://creativecommons.org/licenses/by/4.0/","page":"149-162","source":"DOI.org (Crossref)","title":"Pengaruh Volume Perdagangan Saham, Leverage, dan Kebijakan Dividen Terhadap Volatilitas Harga Saham","volume":"2","author":[{"family":"Septyadi","given":"Mario Ascaryo"},{"family":"Bwarleling","given":"Theresia Hesti"}],"issued":{"date-parts":[["2020",12,30]]}}}],"schema":"https://github.com/citation-style-language/schema/raw/master/csl-citation.json"} </w:instrText>
            </w:r>
            <w:r w:rsidRPr="00606A0C">
              <w:rPr>
                <w:rFonts w:ascii="Times New Roman" w:eastAsia="Times New Roman" w:hAnsi="Times New Roman" w:cs="Times New Roman"/>
                <w:color w:val="000000"/>
              </w:rPr>
              <w:fldChar w:fldCharType="separate"/>
            </w:r>
            <w:r w:rsidRPr="00606A0C">
              <w:rPr>
                <w:rFonts w:ascii="Times New Roman" w:hAnsi="Times New Roman" w:cs="Times New Roman"/>
              </w:rPr>
              <w:t>(</w:t>
            </w:r>
            <w:hyperlink w:anchor="Septyadi" w:history="1">
              <w:r w:rsidRPr="00606A0C">
                <w:rPr>
                  <w:rStyle w:val="Hyperlink"/>
                  <w:rFonts w:ascii="Times New Roman" w:hAnsi="Times New Roman" w:cs="Times New Roman"/>
                  <w:u w:val="none"/>
                </w:rPr>
                <w:t>Septyadi &amp; Bwarleling, 2020</w:t>
              </w:r>
            </w:hyperlink>
            <w:r w:rsidRPr="00606A0C">
              <w:rPr>
                <w:rFonts w:ascii="Times New Roman" w:hAnsi="Times New Roman" w:cs="Times New Roman"/>
              </w:rPr>
              <w:t>)</w:t>
            </w:r>
            <w:r w:rsidRPr="00606A0C">
              <w:rPr>
                <w:rFonts w:ascii="Times New Roman" w:eastAsia="Times New Roman" w:hAnsi="Times New Roman" w:cs="Times New Roman"/>
                <w:color w:val="000000"/>
              </w:rPr>
              <w:fldChar w:fldCharType="end"/>
            </w:r>
            <w:r w:rsidRPr="00606A0C">
              <w:rPr>
                <w:rFonts w:ascii="Times New Roman" w:eastAsia="Times New Roman" w:hAnsi="Times New Roman" w:cs="Times New Roman"/>
                <w:color w:val="000000"/>
              </w:rPr>
              <w:t xml:space="preserve">; </w:t>
            </w:r>
            <w:r w:rsidRPr="00606A0C">
              <w:rPr>
                <w:rFonts w:ascii="Times New Roman" w:eastAsia="Times New Roman" w:hAnsi="Times New Roman" w:cs="Times New Roman"/>
                <w:color w:val="000000"/>
              </w:rPr>
              <w:fldChar w:fldCharType="begin"/>
            </w:r>
            <w:r w:rsidRPr="00606A0C">
              <w:rPr>
                <w:rFonts w:ascii="Times New Roman" w:eastAsia="Times New Roman" w:hAnsi="Times New Roman" w:cs="Times New Roman"/>
                <w:color w:val="000000"/>
              </w:rPr>
              <w:instrText xml:space="preserve"> ADDIN ZOTERO_ITEM CSL_CITATION {"citationID":"6ioJ3z5d","properties":{"formattedCitation":"(Setyawan, 2010)","plainCitation":"(Setyawan, 2010)","noteIndex":0},"citationItems":[{"id":789,"uris":["http://zotero.org/users/10852507/items/HE3BS55L"],"itemData":{"id":789,"type":"article-journal","abstract":"This study aims to re-examine the effectiveness of liquidity hypothesis in stock split. Liquidity hypothesis in stock split is defined as the returning stock price to the optimal trading level. Based on Ekaputra and Putri (2006), this study consists of two analysis methods such as: 1) Paired t-test among return volatility and liquidity during stock split 2) OLS-test focuses on the consistency of the model of Ekaputra and Putri (2006) and in line with Kim et al. (2007), this research includes Amihud’s Illiquidity as an alternative proxy of liquidity in stock split in addition to relative spread. According to paired t-test, this study finds return volatility decreases after stock split and it is similar to liquidity proxies both relative spread and Amihud’s Illiquidity. In OLS-test, the results indicate that only the effect of trading volume toward liquidity proxies (i.e., relative spread and Amihud’s Illiquidity) has the appropriate signs with the alternative hypothesis. Generally, this research concludes that stock liquidity increases after stock split and relative spread is a better liquidity proxy than Amihud’s Illiquidity.","container-title":"Jurnal Akuntansi dan Keuangan Indonesia","DOI":"10.21002/jaki.2010.07","ISSN":"18298494, 24069701","issue":"2","journalAbbreviation":"JAKI","language":"id","page":"124-138","source":"DOI.org (Crossref)","title":"STOCK SPLIT DAN LIKUIDITAS SAHAM DI BEI: PENGUJIAN MENGGUNAKAN HIPOTESIS LIKUIDITAS","title-short":"STOCK SPLIT DAN LIKUIDITAS SAHAM DI BEI","volume":"7","author":[{"family":"Setyawan","given":"Ignatius Roni"}],"issued":{"date-parts":[["2010"]]}}}],"schema":"https://github.com/citation-style-language/schema/raw/master/csl-citation.json"} </w:instrText>
            </w:r>
            <w:r w:rsidRPr="00606A0C">
              <w:rPr>
                <w:rFonts w:ascii="Times New Roman" w:eastAsia="Times New Roman" w:hAnsi="Times New Roman" w:cs="Times New Roman"/>
                <w:color w:val="000000"/>
              </w:rPr>
              <w:fldChar w:fldCharType="separate"/>
            </w:r>
            <w:r w:rsidRPr="00606A0C">
              <w:rPr>
                <w:rFonts w:ascii="Times New Roman" w:hAnsi="Times New Roman" w:cs="Times New Roman"/>
              </w:rPr>
              <w:t>(</w:t>
            </w:r>
            <w:hyperlink w:anchor="Setyawan" w:history="1">
              <w:r w:rsidRPr="00606A0C">
                <w:rPr>
                  <w:rStyle w:val="Hyperlink"/>
                  <w:rFonts w:ascii="Times New Roman" w:hAnsi="Times New Roman" w:cs="Times New Roman"/>
                  <w:u w:val="none"/>
                </w:rPr>
                <w:t>Setyawan, 2010</w:t>
              </w:r>
            </w:hyperlink>
            <w:r w:rsidRPr="00606A0C">
              <w:rPr>
                <w:rFonts w:ascii="Times New Roman" w:hAnsi="Times New Roman" w:cs="Times New Roman"/>
              </w:rPr>
              <w:t>)</w:t>
            </w:r>
            <w:r w:rsidRPr="00606A0C">
              <w:rPr>
                <w:rFonts w:ascii="Times New Roman" w:eastAsia="Times New Roman" w:hAnsi="Times New Roman" w:cs="Times New Roman"/>
                <w:color w:val="000000"/>
              </w:rPr>
              <w:fldChar w:fldCharType="end"/>
            </w:r>
          </w:p>
        </w:tc>
      </w:tr>
    </w:tbl>
    <w:p w14:paraId="705A460E" w14:textId="227C7E99" w:rsidR="007A3B40" w:rsidRPr="00935C7F" w:rsidRDefault="007A3B40" w:rsidP="00686421">
      <w:pPr>
        <w:spacing w:after="0"/>
        <w:ind w:firstLine="426"/>
        <w:jc w:val="both"/>
        <w:rPr>
          <w:rFonts w:ascii="Times New Roman" w:eastAsia="Times New Roman" w:hAnsi="Times New Roman" w:cs="Times New Roman"/>
          <w:sz w:val="24"/>
          <w:szCs w:val="24"/>
        </w:rPr>
      </w:pPr>
    </w:p>
    <w:p w14:paraId="1C20A89F" w14:textId="1FC6878A" w:rsidR="00D462AF" w:rsidRPr="00935C7F" w:rsidRDefault="00D462AF" w:rsidP="00686421">
      <w:pPr>
        <w:spacing w:after="0"/>
        <w:ind w:firstLine="426"/>
        <w:jc w:val="both"/>
        <w:rPr>
          <w:rFonts w:ascii="Times New Roman" w:eastAsia="Times New Roman" w:hAnsi="Times New Roman" w:cs="Times New Roman"/>
          <w:iCs/>
          <w:sz w:val="24"/>
          <w:szCs w:val="28"/>
        </w:rPr>
      </w:pPr>
      <w:r w:rsidRPr="00935C7F">
        <w:rPr>
          <w:rFonts w:ascii="Times New Roman" w:eastAsia="Times New Roman" w:hAnsi="Times New Roman" w:cs="Times New Roman"/>
          <w:iCs/>
          <w:sz w:val="24"/>
          <w:szCs w:val="28"/>
        </w:rPr>
        <w:t xml:space="preserve">This study uses the </w:t>
      </w:r>
      <w:r w:rsidR="00AB0CF1" w:rsidRPr="00935C7F">
        <w:rPr>
          <w:rFonts w:ascii="Times New Roman" w:eastAsia="Times New Roman" w:hAnsi="Times New Roman" w:cs="Times New Roman"/>
          <w:iCs/>
          <w:sz w:val="24"/>
          <w:szCs w:val="28"/>
        </w:rPr>
        <w:t>multiple linear</w:t>
      </w:r>
      <w:r w:rsidRPr="00935C7F">
        <w:rPr>
          <w:rFonts w:ascii="Times New Roman" w:eastAsia="Times New Roman" w:hAnsi="Times New Roman" w:cs="Times New Roman"/>
          <w:iCs/>
          <w:sz w:val="24"/>
          <w:szCs w:val="28"/>
        </w:rPr>
        <w:t xml:space="preserve"> regression method to test the research hypothesis. The following is a regression model that will be applied to regression analysis:</w:t>
      </w:r>
    </w:p>
    <w:p w14:paraId="4EDD9140" w14:textId="42606D11" w:rsidR="00D462AF" w:rsidRPr="00356543" w:rsidRDefault="00000000" w:rsidP="00356543">
      <w:pPr>
        <w:spacing w:after="0"/>
        <w:jc w:val="center"/>
        <w:rPr>
          <w:rFonts w:ascii="Times New Roman" w:eastAsiaTheme="minorEastAsia" w:hAnsi="Times New Roman" w:cs="Times New Roman"/>
          <w:i/>
          <w:sz w:val="24"/>
          <w:szCs w:val="24"/>
          <w:lang w:val="id-ID"/>
        </w:rPr>
      </w:pPr>
      <m:oMathPara>
        <m:oMath>
          <m:sSub>
            <m:sSubPr>
              <m:ctrlPr>
                <w:rPr>
                  <w:rFonts w:ascii="Cambria Math" w:hAnsi="Cambria Math" w:cs="Times New Roman"/>
                  <w:i/>
                  <w:sz w:val="24"/>
                  <w:szCs w:val="24"/>
                </w:rPr>
              </m:ctrlPr>
            </m:sSubPr>
            <m:e>
              <m:r>
                <w:rPr>
                  <w:rFonts w:ascii="Cambria Math" w:hAnsi="Cambria Math" w:cs="Times New Roman"/>
                  <w:sz w:val="24"/>
                  <w:szCs w:val="24"/>
                </w:rPr>
                <m:t>RISK</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KAM1</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KAM2</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3</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KAM3</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4</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AUOP</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5</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BIG4</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6</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TVOL</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m:t>
              </m:r>
            </m:sub>
          </m:sSub>
        </m:oMath>
      </m:oMathPara>
    </w:p>
    <w:p w14:paraId="08450876" w14:textId="77777777" w:rsidR="00356543" w:rsidRPr="00356543" w:rsidRDefault="00356543" w:rsidP="00356543">
      <w:pPr>
        <w:spacing w:after="0"/>
        <w:rPr>
          <w:rFonts w:ascii="Times New Roman" w:eastAsiaTheme="minorEastAsia" w:hAnsi="Times New Roman" w:cs="Times New Roman"/>
          <w:sz w:val="24"/>
          <w:szCs w:val="24"/>
          <w:lang w:val="id-ID"/>
        </w:rPr>
      </w:pPr>
    </w:p>
    <w:p w14:paraId="5B623DD4" w14:textId="7AB7A077" w:rsidR="00356543" w:rsidRPr="00356543" w:rsidRDefault="00356543" w:rsidP="00356543">
      <w:pPr>
        <w:spacing w:after="0"/>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Where, </w:t>
      </w:r>
    </w:p>
    <w:p w14:paraId="671A3741" w14:textId="24B18392" w:rsidR="00D462AF" w:rsidRPr="00935C7F" w:rsidRDefault="00000000" w:rsidP="00686421">
      <w:pPr>
        <w:tabs>
          <w:tab w:val="left" w:pos="1134"/>
        </w:tabs>
        <w:spacing w:after="0"/>
        <w:ind w:left="1276" w:hanging="1276"/>
        <w:contextualSpacing/>
        <w:jc w:val="both"/>
        <w:rPr>
          <w:rFonts w:ascii="Times New Roman" w:hAnsi="Times New Roman"/>
        </w:rPr>
      </w:pPr>
      <m:oMath>
        <m:sSub>
          <m:sSubPr>
            <m:ctrlPr>
              <w:rPr>
                <w:rFonts w:ascii="Cambria Math" w:hAnsi="Cambria Math"/>
                <w:iCs/>
              </w:rPr>
            </m:ctrlPr>
          </m:sSubPr>
          <m:e>
            <m:r>
              <m:rPr>
                <m:sty m:val="p"/>
              </m:rPr>
              <w:rPr>
                <w:rFonts w:ascii="Cambria Math" w:hAnsi="Cambria Math"/>
              </w:rPr>
              <m:t>RISK</m:t>
            </m:r>
          </m:e>
          <m:sub>
            <m:r>
              <m:rPr>
                <m:sty m:val="p"/>
              </m:rPr>
              <w:rPr>
                <w:rFonts w:ascii="Cambria Math" w:hAnsi="Cambria Math"/>
              </w:rPr>
              <m:t>i,t</m:t>
            </m:r>
          </m:sub>
        </m:sSub>
      </m:oMath>
      <w:r w:rsidR="00D462AF" w:rsidRPr="00935C7F">
        <w:rPr>
          <w:rFonts w:ascii="Times New Roman" w:eastAsiaTheme="minorEastAsia" w:hAnsi="Times New Roman"/>
        </w:rPr>
        <w:tab/>
      </w:r>
      <w:r w:rsidR="00C634EA" w:rsidRPr="00935C7F">
        <w:rPr>
          <w:rFonts w:ascii="Times New Roman" w:eastAsiaTheme="minorEastAsia" w:hAnsi="Times New Roman"/>
        </w:rPr>
        <w:t>:</w:t>
      </w:r>
      <w:r w:rsidR="00D462AF" w:rsidRPr="00935C7F">
        <w:rPr>
          <w:rFonts w:ascii="Times New Roman" w:eastAsiaTheme="minorEastAsia" w:hAnsi="Times New Roman"/>
        </w:rPr>
        <w:t xml:space="preserve"> </w:t>
      </w:r>
      <w:r w:rsidR="00C634EA" w:rsidRPr="00935C7F">
        <w:rPr>
          <w:rFonts w:ascii="Times New Roman" w:eastAsiaTheme="minorEastAsia" w:hAnsi="Times New Roman"/>
          <w:sz w:val="24"/>
          <w:szCs w:val="24"/>
        </w:rPr>
        <w:t>Standard deviation of the daily stock returns for firm </w:t>
      </w:r>
      <w:r w:rsidR="00C634EA" w:rsidRPr="00935C7F">
        <w:rPr>
          <w:rFonts w:ascii="Times New Roman" w:eastAsiaTheme="minorEastAsia" w:hAnsi="Times New Roman"/>
          <w:i/>
          <w:iCs/>
          <w:sz w:val="24"/>
          <w:szCs w:val="24"/>
        </w:rPr>
        <w:t>i</w:t>
      </w:r>
      <w:r w:rsidR="00C634EA" w:rsidRPr="00935C7F">
        <w:rPr>
          <w:rFonts w:ascii="Times New Roman" w:eastAsiaTheme="minorEastAsia" w:hAnsi="Times New Roman"/>
          <w:sz w:val="24"/>
          <w:szCs w:val="24"/>
        </w:rPr>
        <w:t> in fiscal year </w:t>
      </w:r>
      <w:r w:rsidR="00C634EA" w:rsidRPr="00935C7F">
        <w:rPr>
          <w:rFonts w:ascii="Times New Roman" w:eastAsiaTheme="minorEastAsia" w:hAnsi="Times New Roman"/>
          <w:i/>
          <w:iCs/>
          <w:sz w:val="24"/>
          <w:szCs w:val="24"/>
        </w:rPr>
        <w:t>t</w:t>
      </w:r>
      <w:r w:rsidR="00D462AF" w:rsidRPr="00935C7F">
        <w:rPr>
          <w:rFonts w:ascii="Times New Roman" w:eastAsiaTheme="minorEastAsia" w:hAnsi="Times New Roman"/>
          <w:sz w:val="24"/>
          <w:szCs w:val="24"/>
        </w:rPr>
        <w:t>;</w:t>
      </w:r>
    </w:p>
    <w:p w14:paraId="73C6B55E" w14:textId="332F5395" w:rsidR="00D462AF" w:rsidRPr="00935C7F" w:rsidRDefault="00000000" w:rsidP="00686421">
      <w:pPr>
        <w:tabs>
          <w:tab w:val="left" w:pos="1134"/>
        </w:tabs>
        <w:spacing w:after="0"/>
        <w:ind w:left="1843" w:hanging="1843"/>
        <w:contextualSpacing/>
        <w:jc w:val="both"/>
        <w:rPr>
          <w:rFonts w:ascii="Times New Roman" w:hAnsi="Times New Roman"/>
        </w:rPr>
      </w:pPr>
      <m:oMath>
        <m:sSub>
          <m:sSubPr>
            <m:ctrlPr>
              <w:rPr>
                <w:rFonts w:ascii="Cambria Math" w:hAnsi="Cambria Math"/>
                <w:i/>
              </w:rPr>
            </m:ctrlPr>
          </m:sSubPr>
          <m:e>
            <m:r>
              <w:rPr>
                <w:rFonts w:ascii="Cambria Math" w:hAnsi="Cambria Math"/>
              </w:rPr>
              <m:t>α</m:t>
            </m:r>
          </m:e>
          <m:sub>
            <m:r>
              <w:rPr>
                <w:rFonts w:ascii="Cambria Math" w:hAnsi="Cambria Math"/>
              </w:rPr>
              <m:t>0</m:t>
            </m:r>
          </m:sub>
        </m:sSub>
      </m:oMath>
      <w:r w:rsidR="00D462AF" w:rsidRPr="00935C7F">
        <w:rPr>
          <w:rFonts w:ascii="Times New Roman" w:eastAsiaTheme="minorEastAsia" w:hAnsi="Times New Roman"/>
        </w:rPr>
        <w:tab/>
      </w:r>
      <w:r w:rsidR="00C634EA" w:rsidRPr="00935C7F">
        <w:rPr>
          <w:rFonts w:ascii="Times New Roman" w:eastAsiaTheme="minorEastAsia" w:hAnsi="Times New Roman"/>
        </w:rPr>
        <w:t>:</w:t>
      </w:r>
      <w:r w:rsidR="00D462AF" w:rsidRPr="00935C7F">
        <w:rPr>
          <w:rFonts w:ascii="Times New Roman" w:eastAsiaTheme="minorEastAsia" w:hAnsi="Times New Roman"/>
        </w:rPr>
        <w:t xml:space="preserve"> </w:t>
      </w:r>
      <w:r w:rsidR="00D462AF" w:rsidRPr="00935C7F">
        <w:rPr>
          <w:rFonts w:ascii="Times New Roman" w:eastAsiaTheme="minorEastAsia" w:hAnsi="Times New Roman"/>
          <w:sz w:val="24"/>
          <w:szCs w:val="24"/>
        </w:rPr>
        <w:t>Constant</w:t>
      </w:r>
      <w:r w:rsidR="00C634EA" w:rsidRPr="00935C7F">
        <w:rPr>
          <w:rFonts w:ascii="Times New Roman" w:eastAsiaTheme="minorEastAsia" w:hAnsi="Times New Roman"/>
          <w:sz w:val="24"/>
          <w:szCs w:val="24"/>
        </w:rPr>
        <w:t>;</w:t>
      </w:r>
    </w:p>
    <w:p w14:paraId="2928C18C" w14:textId="3BEE6D16" w:rsidR="00D462AF" w:rsidRPr="00935C7F" w:rsidRDefault="00000000" w:rsidP="00686421">
      <w:pPr>
        <w:tabs>
          <w:tab w:val="left" w:pos="1134"/>
        </w:tabs>
        <w:spacing w:after="0"/>
        <w:ind w:left="1843" w:hanging="1843"/>
        <w:contextualSpacing/>
        <w:jc w:val="both"/>
        <w:rPr>
          <w:rFonts w:ascii="Times New Roman" w:hAnsi="Times New Roman"/>
          <w:iCs/>
        </w:rPr>
      </w:pPr>
      <m:oMath>
        <m:sSub>
          <m:sSubPr>
            <m:ctrlPr>
              <w:rPr>
                <w:rFonts w:ascii="Cambria Math" w:hAnsi="Cambria Math"/>
                <w:iCs/>
              </w:rPr>
            </m:ctrlPr>
          </m:sSubPr>
          <m:e>
            <m:r>
              <m:rPr>
                <m:sty m:val="p"/>
              </m:rPr>
              <w:rPr>
                <w:rFonts w:ascii="Cambria Math" w:hAnsi="Cambria Math"/>
              </w:rPr>
              <m:t>β</m:t>
            </m:r>
          </m:e>
          <m:sub>
            <m:r>
              <m:rPr>
                <m:sty m:val="p"/>
              </m:rPr>
              <w:rPr>
                <w:rFonts w:ascii="Cambria Math" w:hAnsi="Cambria Math"/>
              </w:rPr>
              <m:t>1-6</m:t>
            </m:r>
          </m:sub>
        </m:sSub>
      </m:oMath>
      <w:r w:rsidR="00D462AF" w:rsidRPr="00935C7F">
        <w:rPr>
          <w:rFonts w:ascii="Times New Roman" w:eastAsiaTheme="minorEastAsia" w:hAnsi="Times New Roman"/>
          <w:iCs/>
        </w:rPr>
        <w:tab/>
      </w:r>
      <w:r w:rsidR="00C634EA" w:rsidRPr="00935C7F">
        <w:rPr>
          <w:rFonts w:ascii="Times New Roman" w:eastAsiaTheme="minorEastAsia" w:hAnsi="Times New Roman"/>
          <w:iCs/>
        </w:rPr>
        <w:t>:</w:t>
      </w:r>
      <w:r w:rsidR="00D462AF" w:rsidRPr="00935C7F">
        <w:rPr>
          <w:rFonts w:ascii="Times New Roman" w:eastAsiaTheme="minorEastAsia" w:hAnsi="Times New Roman"/>
          <w:iCs/>
        </w:rPr>
        <w:t xml:space="preserve"> </w:t>
      </w:r>
      <w:r w:rsidR="00C634EA" w:rsidRPr="00935C7F">
        <w:rPr>
          <w:rFonts w:ascii="Times New Roman" w:eastAsiaTheme="minorEastAsia" w:hAnsi="Times New Roman"/>
          <w:iCs/>
          <w:sz w:val="24"/>
          <w:szCs w:val="24"/>
        </w:rPr>
        <w:t>Slope coefficients for each independent/control variable;</w:t>
      </w:r>
    </w:p>
    <w:p w14:paraId="1B95EF01" w14:textId="561206A2" w:rsidR="00D462AF" w:rsidRPr="00935C7F" w:rsidRDefault="00000000" w:rsidP="00686421">
      <w:pPr>
        <w:tabs>
          <w:tab w:val="left" w:pos="1134"/>
        </w:tabs>
        <w:spacing w:after="0"/>
        <w:ind w:left="1276" w:hanging="1276"/>
        <w:contextualSpacing/>
        <w:rPr>
          <w:rFonts w:ascii="Times New Roman" w:hAnsi="Times New Roman"/>
          <w:iCs/>
          <w:sz w:val="24"/>
          <w:szCs w:val="24"/>
        </w:rPr>
      </w:pPr>
      <m:oMath>
        <m:sSub>
          <m:sSubPr>
            <m:ctrlPr>
              <w:rPr>
                <w:rFonts w:ascii="Cambria Math" w:hAnsi="Cambria Math"/>
                <w:iCs/>
              </w:rPr>
            </m:ctrlPr>
          </m:sSubPr>
          <m:e>
            <m:r>
              <m:rPr>
                <m:sty m:val="p"/>
              </m:rPr>
              <w:rPr>
                <w:rFonts w:ascii="Cambria Math" w:hAnsi="Cambria Math"/>
              </w:rPr>
              <m:t>KAM1</m:t>
            </m:r>
          </m:e>
          <m:sub>
            <m:r>
              <m:rPr>
                <m:sty m:val="p"/>
              </m:rPr>
              <w:rPr>
                <w:rFonts w:ascii="Cambria Math" w:hAnsi="Cambria Math"/>
              </w:rPr>
              <m:t>i,t</m:t>
            </m:r>
          </m:sub>
        </m:sSub>
      </m:oMath>
      <w:r w:rsidR="00D462AF" w:rsidRPr="00935C7F">
        <w:rPr>
          <w:rFonts w:ascii="Times New Roman" w:eastAsiaTheme="minorEastAsia" w:hAnsi="Times New Roman"/>
          <w:iCs/>
        </w:rPr>
        <w:tab/>
      </w:r>
      <w:r w:rsidR="00C634EA" w:rsidRPr="00935C7F">
        <w:rPr>
          <w:rFonts w:ascii="Times New Roman" w:eastAsiaTheme="minorEastAsia" w:hAnsi="Times New Roman"/>
          <w:iCs/>
        </w:rPr>
        <w:t>:</w:t>
      </w:r>
      <w:r w:rsidR="00D462AF" w:rsidRPr="00935C7F">
        <w:rPr>
          <w:rFonts w:ascii="Times New Roman" w:eastAsiaTheme="minorEastAsia" w:hAnsi="Times New Roman"/>
          <w:iCs/>
        </w:rPr>
        <w:t xml:space="preserve"> </w:t>
      </w:r>
      <w:r w:rsidR="00C634EA" w:rsidRPr="00935C7F">
        <w:rPr>
          <w:rFonts w:ascii="Times New Roman" w:eastAsiaTheme="minorEastAsia" w:hAnsi="Times New Roman"/>
          <w:iCs/>
          <w:sz w:val="24"/>
          <w:szCs w:val="24"/>
        </w:rPr>
        <w:t xml:space="preserve">Number of </w:t>
      </w:r>
      <w:r w:rsidR="00BE4252" w:rsidRPr="00935C7F">
        <w:rPr>
          <w:rFonts w:ascii="Times New Roman" w:eastAsiaTheme="minorEastAsia" w:hAnsi="Times New Roman"/>
          <w:iCs/>
          <w:sz w:val="24"/>
          <w:szCs w:val="24"/>
        </w:rPr>
        <w:t>KAM</w:t>
      </w:r>
      <w:r w:rsidR="00C634EA" w:rsidRPr="00935C7F">
        <w:rPr>
          <w:rFonts w:ascii="Times New Roman" w:eastAsiaTheme="minorEastAsia" w:hAnsi="Times New Roman"/>
          <w:iCs/>
          <w:sz w:val="24"/>
          <w:szCs w:val="24"/>
        </w:rPr>
        <w:t xml:space="preserve"> disclosed by the auditor for firm </w:t>
      </w:r>
      <w:r w:rsidR="00C634EA" w:rsidRPr="00935C7F">
        <w:rPr>
          <w:rFonts w:ascii="Times New Roman" w:eastAsiaTheme="minorEastAsia" w:hAnsi="Times New Roman"/>
          <w:i/>
          <w:iCs/>
          <w:sz w:val="24"/>
          <w:szCs w:val="24"/>
        </w:rPr>
        <w:t>i</w:t>
      </w:r>
      <w:r w:rsidR="00C634EA" w:rsidRPr="00935C7F">
        <w:rPr>
          <w:rFonts w:ascii="Times New Roman" w:eastAsiaTheme="minorEastAsia" w:hAnsi="Times New Roman"/>
          <w:iCs/>
          <w:sz w:val="24"/>
          <w:szCs w:val="24"/>
        </w:rPr>
        <w:t> in fiscal year </w:t>
      </w:r>
      <w:r w:rsidR="00C634EA" w:rsidRPr="00935C7F">
        <w:rPr>
          <w:rFonts w:ascii="Times New Roman" w:eastAsiaTheme="minorEastAsia" w:hAnsi="Times New Roman"/>
          <w:i/>
          <w:iCs/>
          <w:sz w:val="24"/>
          <w:szCs w:val="24"/>
        </w:rPr>
        <w:t>t</w:t>
      </w:r>
      <w:r w:rsidR="00D462AF" w:rsidRPr="00935C7F">
        <w:rPr>
          <w:rFonts w:ascii="Times New Roman" w:eastAsiaTheme="minorEastAsia" w:hAnsi="Times New Roman"/>
          <w:iCs/>
          <w:sz w:val="24"/>
          <w:szCs w:val="24"/>
        </w:rPr>
        <w:t>;</w:t>
      </w:r>
    </w:p>
    <w:p w14:paraId="61FEB65A" w14:textId="59DE4C9B" w:rsidR="00D462AF" w:rsidRPr="00935C7F" w:rsidRDefault="00000000" w:rsidP="00686421">
      <w:pPr>
        <w:tabs>
          <w:tab w:val="left" w:pos="1134"/>
        </w:tabs>
        <w:spacing w:after="0"/>
        <w:ind w:left="1276" w:hanging="1276"/>
        <w:contextualSpacing/>
        <w:rPr>
          <w:rFonts w:ascii="Times New Roman" w:hAnsi="Times New Roman"/>
          <w:iCs/>
        </w:rPr>
      </w:pPr>
      <m:oMath>
        <m:sSub>
          <m:sSubPr>
            <m:ctrlPr>
              <w:rPr>
                <w:rFonts w:ascii="Cambria Math" w:hAnsi="Cambria Math"/>
                <w:iCs/>
              </w:rPr>
            </m:ctrlPr>
          </m:sSubPr>
          <m:e>
            <m:r>
              <m:rPr>
                <m:sty m:val="p"/>
              </m:rPr>
              <w:rPr>
                <w:rFonts w:ascii="Cambria Math" w:hAnsi="Cambria Math"/>
              </w:rPr>
              <m:t>KAM2</m:t>
            </m:r>
          </m:e>
          <m:sub>
            <m:r>
              <m:rPr>
                <m:sty m:val="p"/>
              </m:rPr>
              <w:rPr>
                <w:rFonts w:ascii="Cambria Math" w:hAnsi="Cambria Math"/>
              </w:rPr>
              <m:t>i,t</m:t>
            </m:r>
          </m:sub>
        </m:sSub>
      </m:oMath>
      <w:r w:rsidR="00D462AF" w:rsidRPr="00935C7F">
        <w:rPr>
          <w:rFonts w:ascii="Times New Roman" w:eastAsiaTheme="minorEastAsia" w:hAnsi="Times New Roman"/>
          <w:iCs/>
        </w:rPr>
        <w:tab/>
      </w:r>
      <w:r w:rsidR="00C634EA" w:rsidRPr="00935C7F">
        <w:rPr>
          <w:rFonts w:ascii="Times New Roman" w:eastAsiaTheme="minorEastAsia" w:hAnsi="Times New Roman"/>
          <w:iCs/>
        </w:rPr>
        <w:t>:</w:t>
      </w:r>
      <w:r w:rsidR="00D462AF" w:rsidRPr="00935C7F">
        <w:rPr>
          <w:rFonts w:ascii="Times New Roman" w:eastAsiaTheme="minorEastAsia" w:hAnsi="Times New Roman"/>
          <w:iCs/>
        </w:rPr>
        <w:t xml:space="preserve"> </w:t>
      </w:r>
      <w:r w:rsidR="00C634EA" w:rsidRPr="00935C7F">
        <w:rPr>
          <w:rFonts w:ascii="Times New Roman" w:eastAsiaTheme="minorEastAsia" w:hAnsi="Times New Roman"/>
          <w:iCs/>
          <w:sz w:val="24"/>
          <w:szCs w:val="24"/>
        </w:rPr>
        <w:t xml:space="preserve">Number of paragraphs dedicated to discussing </w:t>
      </w:r>
      <w:r w:rsidR="00BE4252" w:rsidRPr="00935C7F">
        <w:rPr>
          <w:rFonts w:ascii="Times New Roman" w:eastAsiaTheme="minorEastAsia" w:hAnsi="Times New Roman"/>
          <w:iCs/>
          <w:sz w:val="24"/>
          <w:szCs w:val="24"/>
        </w:rPr>
        <w:t>KAM</w:t>
      </w:r>
      <w:r w:rsidR="00C634EA" w:rsidRPr="00935C7F">
        <w:rPr>
          <w:rFonts w:ascii="Times New Roman" w:eastAsiaTheme="minorEastAsia" w:hAnsi="Times New Roman"/>
          <w:iCs/>
          <w:sz w:val="24"/>
          <w:szCs w:val="24"/>
        </w:rPr>
        <w:t xml:space="preserve"> in the audit report for firm </w:t>
      </w:r>
      <w:r w:rsidR="00C634EA" w:rsidRPr="00935C7F">
        <w:rPr>
          <w:rFonts w:ascii="Times New Roman" w:eastAsiaTheme="minorEastAsia" w:hAnsi="Times New Roman"/>
          <w:i/>
          <w:iCs/>
          <w:sz w:val="24"/>
          <w:szCs w:val="24"/>
        </w:rPr>
        <w:t>i</w:t>
      </w:r>
      <w:r w:rsidR="00C634EA" w:rsidRPr="00935C7F">
        <w:rPr>
          <w:rFonts w:ascii="Times New Roman" w:eastAsiaTheme="minorEastAsia" w:hAnsi="Times New Roman"/>
          <w:iCs/>
          <w:sz w:val="24"/>
          <w:szCs w:val="24"/>
        </w:rPr>
        <w:t> in fiscal year </w:t>
      </w:r>
      <w:r w:rsidR="00C634EA" w:rsidRPr="00935C7F">
        <w:rPr>
          <w:rFonts w:ascii="Times New Roman" w:eastAsiaTheme="minorEastAsia" w:hAnsi="Times New Roman"/>
          <w:i/>
          <w:iCs/>
          <w:sz w:val="24"/>
          <w:szCs w:val="24"/>
        </w:rPr>
        <w:t>t</w:t>
      </w:r>
      <w:r w:rsidR="00C634EA" w:rsidRPr="00935C7F">
        <w:rPr>
          <w:rFonts w:ascii="Times New Roman" w:eastAsiaTheme="minorEastAsia" w:hAnsi="Times New Roman"/>
          <w:iCs/>
          <w:sz w:val="24"/>
          <w:szCs w:val="24"/>
        </w:rPr>
        <w:t>;</w:t>
      </w:r>
    </w:p>
    <w:p w14:paraId="03A6955B" w14:textId="355DE15F" w:rsidR="00D462AF" w:rsidRPr="00935C7F" w:rsidRDefault="00000000" w:rsidP="00686421">
      <w:pPr>
        <w:tabs>
          <w:tab w:val="left" w:pos="1134"/>
          <w:tab w:val="left" w:pos="1276"/>
          <w:tab w:val="left" w:pos="1560"/>
        </w:tabs>
        <w:spacing w:after="0"/>
        <w:ind w:left="1276" w:hanging="1276"/>
        <w:contextualSpacing/>
        <w:jc w:val="both"/>
        <w:rPr>
          <w:rFonts w:ascii="Times New Roman" w:hAnsi="Times New Roman"/>
          <w:iCs/>
        </w:rPr>
      </w:pPr>
      <m:oMath>
        <m:sSub>
          <m:sSubPr>
            <m:ctrlPr>
              <w:rPr>
                <w:rFonts w:ascii="Cambria Math" w:hAnsi="Cambria Math"/>
                <w:iCs/>
              </w:rPr>
            </m:ctrlPr>
          </m:sSubPr>
          <m:e>
            <m:r>
              <m:rPr>
                <m:sty m:val="p"/>
              </m:rPr>
              <w:rPr>
                <w:rFonts w:ascii="Cambria Math" w:hAnsi="Cambria Math"/>
              </w:rPr>
              <m:t>KAM3</m:t>
            </m:r>
          </m:e>
          <m:sub>
            <m:r>
              <m:rPr>
                <m:sty m:val="p"/>
              </m:rPr>
              <w:rPr>
                <w:rFonts w:ascii="Cambria Math" w:hAnsi="Cambria Math"/>
              </w:rPr>
              <m:t>i,t</m:t>
            </m:r>
          </m:sub>
        </m:sSub>
      </m:oMath>
      <w:r w:rsidR="00D462AF" w:rsidRPr="00935C7F">
        <w:rPr>
          <w:rFonts w:ascii="Times New Roman" w:eastAsiaTheme="minorEastAsia" w:hAnsi="Times New Roman"/>
          <w:iCs/>
        </w:rPr>
        <w:tab/>
      </w:r>
      <w:r w:rsidR="00C634EA" w:rsidRPr="00935C7F">
        <w:rPr>
          <w:rFonts w:ascii="Times New Roman" w:eastAsiaTheme="minorEastAsia" w:hAnsi="Times New Roman"/>
          <w:iCs/>
        </w:rPr>
        <w:t>:</w:t>
      </w:r>
      <w:r w:rsidR="00D462AF" w:rsidRPr="00935C7F">
        <w:rPr>
          <w:rFonts w:ascii="Times New Roman" w:eastAsiaTheme="minorEastAsia" w:hAnsi="Times New Roman"/>
          <w:iCs/>
        </w:rPr>
        <w:t xml:space="preserve"> </w:t>
      </w:r>
      <w:r w:rsidR="00C634EA" w:rsidRPr="00935C7F">
        <w:rPr>
          <w:rFonts w:ascii="Times New Roman" w:eastAsiaTheme="minorEastAsia" w:hAnsi="Times New Roman"/>
          <w:iCs/>
          <w:sz w:val="24"/>
          <w:szCs w:val="24"/>
        </w:rPr>
        <w:t xml:space="preserve">Dummy variable (1 if monetary figures are disclosed in </w:t>
      </w:r>
      <w:r w:rsidR="00BE4252" w:rsidRPr="00935C7F">
        <w:rPr>
          <w:rFonts w:ascii="Times New Roman" w:eastAsiaTheme="minorEastAsia" w:hAnsi="Times New Roman"/>
          <w:iCs/>
          <w:sz w:val="24"/>
          <w:szCs w:val="24"/>
        </w:rPr>
        <w:t>KAM</w:t>
      </w:r>
      <w:r w:rsidR="00C634EA" w:rsidRPr="00935C7F">
        <w:rPr>
          <w:rFonts w:ascii="Times New Roman" w:eastAsiaTheme="minorEastAsia" w:hAnsi="Times New Roman"/>
          <w:iCs/>
          <w:sz w:val="24"/>
          <w:szCs w:val="24"/>
        </w:rPr>
        <w:t>, 0 otherwise);</w:t>
      </w:r>
    </w:p>
    <w:p w14:paraId="28BC84CC" w14:textId="4638EF14" w:rsidR="00D462AF" w:rsidRPr="00935C7F" w:rsidRDefault="00000000" w:rsidP="00686421">
      <w:pPr>
        <w:tabs>
          <w:tab w:val="left" w:pos="1134"/>
        </w:tabs>
        <w:spacing w:after="0"/>
        <w:ind w:left="1276" w:hanging="1276"/>
        <w:contextualSpacing/>
        <w:jc w:val="both"/>
        <w:rPr>
          <w:rFonts w:ascii="Times New Roman" w:eastAsiaTheme="minorEastAsia" w:hAnsi="Times New Roman"/>
          <w:iCs/>
        </w:rPr>
      </w:pPr>
      <m:oMath>
        <m:sSub>
          <m:sSubPr>
            <m:ctrlPr>
              <w:rPr>
                <w:rFonts w:ascii="Cambria Math" w:hAnsi="Cambria Math"/>
                <w:iCs/>
              </w:rPr>
            </m:ctrlPr>
          </m:sSubPr>
          <m:e>
            <m:r>
              <m:rPr>
                <m:sty m:val="p"/>
              </m:rPr>
              <w:rPr>
                <w:rFonts w:ascii="Cambria Math" w:hAnsi="Cambria Math"/>
              </w:rPr>
              <m:t>AUOP</m:t>
            </m:r>
          </m:e>
          <m:sub>
            <m:r>
              <m:rPr>
                <m:sty m:val="p"/>
              </m:rPr>
              <w:rPr>
                <w:rFonts w:ascii="Cambria Math" w:hAnsi="Cambria Math"/>
              </w:rPr>
              <m:t>i,t</m:t>
            </m:r>
          </m:sub>
        </m:sSub>
      </m:oMath>
      <w:r w:rsidR="00D462AF" w:rsidRPr="00935C7F">
        <w:rPr>
          <w:rFonts w:ascii="Times New Roman" w:eastAsiaTheme="minorEastAsia" w:hAnsi="Times New Roman"/>
          <w:iCs/>
        </w:rPr>
        <w:tab/>
      </w:r>
      <w:r w:rsidR="00C634EA" w:rsidRPr="00935C7F">
        <w:rPr>
          <w:rFonts w:ascii="Times New Roman" w:eastAsiaTheme="minorEastAsia" w:hAnsi="Times New Roman"/>
          <w:iCs/>
        </w:rPr>
        <w:t>:</w:t>
      </w:r>
      <w:r w:rsidR="00D462AF" w:rsidRPr="00935C7F">
        <w:rPr>
          <w:rFonts w:ascii="Times New Roman" w:eastAsiaTheme="minorEastAsia" w:hAnsi="Times New Roman"/>
          <w:iCs/>
        </w:rPr>
        <w:t xml:space="preserve"> </w:t>
      </w:r>
      <w:r w:rsidR="00C634EA" w:rsidRPr="00935C7F">
        <w:rPr>
          <w:rFonts w:ascii="Times New Roman" w:eastAsiaTheme="minorEastAsia" w:hAnsi="Times New Roman"/>
          <w:iCs/>
          <w:sz w:val="24"/>
          <w:szCs w:val="24"/>
        </w:rPr>
        <w:t>Control variable (1 if the audit opinion is unqualified, 0 otherwise)</w:t>
      </w:r>
      <w:r w:rsidR="00D462AF" w:rsidRPr="00935C7F">
        <w:rPr>
          <w:rFonts w:ascii="Times New Roman" w:eastAsiaTheme="minorEastAsia" w:hAnsi="Times New Roman"/>
          <w:iCs/>
          <w:sz w:val="24"/>
          <w:szCs w:val="24"/>
        </w:rPr>
        <w:t>;</w:t>
      </w:r>
    </w:p>
    <w:p w14:paraId="18303E39" w14:textId="60509D32" w:rsidR="00C634EA" w:rsidRPr="00935C7F" w:rsidRDefault="00000000" w:rsidP="00686421">
      <w:pPr>
        <w:tabs>
          <w:tab w:val="left" w:pos="1134"/>
        </w:tabs>
        <w:spacing w:after="0"/>
        <w:ind w:left="1276" w:hanging="1276"/>
        <w:contextualSpacing/>
        <w:jc w:val="both"/>
        <w:rPr>
          <w:rFonts w:ascii="Times New Roman" w:hAnsi="Times New Roman"/>
          <w:iCs/>
        </w:rPr>
      </w:pPr>
      <m:oMath>
        <m:sSub>
          <m:sSubPr>
            <m:ctrlPr>
              <w:rPr>
                <w:rFonts w:ascii="Cambria Math" w:hAnsi="Cambria Math"/>
                <w:iCs/>
              </w:rPr>
            </m:ctrlPr>
          </m:sSubPr>
          <m:e>
            <m:r>
              <m:rPr>
                <m:sty m:val="p"/>
              </m:rPr>
              <w:rPr>
                <w:rFonts w:ascii="Cambria Math" w:hAnsi="Cambria Math"/>
              </w:rPr>
              <m:t>BIG4</m:t>
            </m:r>
          </m:e>
          <m:sub>
            <m:r>
              <m:rPr>
                <m:sty m:val="p"/>
              </m:rPr>
              <w:rPr>
                <w:rFonts w:ascii="Cambria Math" w:hAnsi="Cambria Math"/>
              </w:rPr>
              <m:t>i,t</m:t>
            </m:r>
          </m:sub>
        </m:sSub>
      </m:oMath>
      <w:r w:rsidR="00D462AF" w:rsidRPr="00935C7F">
        <w:rPr>
          <w:rFonts w:ascii="Times New Roman" w:eastAsiaTheme="minorEastAsia" w:hAnsi="Times New Roman"/>
          <w:iCs/>
        </w:rPr>
        <w:tab/>
      </w:r>
      <w:r w:rsidR="00C634EA" w:rsidRPr="00935C7F">
        <w:rPr>
          <w:rFonts w:ascii="Times New Roman" w:eastAsiaTheme="minorEastAsia" w:hAnsi="Times New Roman"/>
          <w:iCs/>
        </w:rPr>
        <w:t>:</w:t>
      </w:r>
      <w:r w:rsidR="00D462AF" w:rsidRPr="00935C7F">
        <w:rPr>
          <w:rFonts w:ascii="Times New Roman" w:eastAsiaTheme="minorEastAsia" w:hAnsi="Times New Roman"/>
          <w:iCs/>
        </w:rPr>
        <w:t xml:space="preserve"> </w:t>
      </w:r>
      <w:r w:rsidR="00C634EA" w:rsidRPr="00935C7F">
        <w:rPr>
          <w:rFonts w:ascii="Times New Roman" w:eastAsiaTheme="minorEastAsia" w:hAnsi="Times New Roman"/>
          <w:iCs/>
          <w:sz w:val="24"/>
          <w:szCs w:val="24"/>
        </w:rPr>
        <w:t>Control variable (1 if audited by a Big 4 firm, 0 otherwise)</w:t>
      </w:r>
      <w:r w:rsidR="00D462AF" w:rsidRPr="00935C7F">
        <w:rPr>
          <w:rFonts w:ascii="Times New Roman" w:eastAsiaTheme="minorEastAsia" w:hAnsi="Times New Roman"/>
          <w:iCs/>
          <w:sz w:val="24"/>
          <w:szCs w:val="24"/>
        </w:rPr>
        <w:t>;</w:t>
      </w:r>
    </w:p>
    <w:p w14:paraId="0DCFC4A3" w14:textId="799686DA" w:rsidR="00C634EA" w:rsidRPr="00935C7F" w:rsidRDefault="00000000" w:rsidP="00686421">
      <w:pPr>
        <w:tabs>
          <w:tab w:val="left" w:pos="1134"/>
        </w:tabs>
        <w:spacing w:after="0"/>
        <w:ind w:left="1276" w:hanging="1276"/>
        <w:contextualSpacing/>
        <w:jc w:val="both"/>
        <w:rPr>
          <w:rFonts w:ascii="Times New Roman" w:hAnsi="Times New Roman"/>
          <w:iCs/>
        </w:rPr>
      </w:pPr>
      <m:oMath>
        <m:sSub>
          <m:sSubPr>
            <m:ctrlPr>
              <w:rPr>
                <w:rFonts w:ascii="Cambria Math" w:hAnsi="Cambria Math"/>
                <w:iCs/>
              </w:rPr>
            </m:ctrlPr>
          </m:sSubPr>
          <m:e>
            <m:r>
              <m:rPr>
                <m:sty m:val="p"/>
              </m:rPr>
              <w:rPr>
                <w:rFonts w:ascii="Cambria Math" w:hAnsi="Cambria Math"/>
              </w:rPr>
              <m:t>TVOL</m:t>
            </m:r>
          </m:e>
          <m:sub>
            <m:r>
              <m:rPr>
                <m:sty m:val="p"/>
              </m:rPr>
              <w:rPr>
                <w:rFonts w:ascii="Cambria Math" w:hAnsi="Cambria Math"/>
              </w:rPr>
              <m:t>i,t</m:t>
            </m:r>
          </m:sub>
        </m:sSub>
      </m:oMath>
      <w:r w:rsidR="00C634EA" w:rsidRPr="00935C7F">
        <w:rPr>
          <w:rFonts w:ascii="Times New Roman" w:eastAsiaTheme="minorEastAsia" w:hAnsi="Times New Roman"/>
          <w:iCs/>
        </w:rPr>
        <w:tab/>
        <w:t xml:space="preserve">: </w:t>
      </w:r>
      <w:r w:rsidR="00C634EA" w:rsidRPr="00935C7F">
        <w:rPr>
          <w:rFonts w:ascii="Times New Roman" w:eastAsiaTheme="minorEastAsia" w:hAnsi="Times New Roman"/>
          <w:iCs/>
          <w:sz w:val="24"/>
          <w:szCs w:val="24"/>
        </w:rPr>
        <w:t>Control variable, natural logarithm of the average daily trading volume;</w:t>
      </w:r>
    </w:p>
    <w:p w14:paraId="10F4C317" w14:textId="5BE6BE5C" w:rsidR="00D462AF" w:rsidRPr="00935C7F" w:rsidRDefault="00000000" w:rsidP="00686421">
      <w:pPr>
        <w:tabs>
          <w:tab w:val="left" w:pos="1134"/>
        </w:tabs>
        <w:spacing w:after="0"/>
        <w:ind w:left="1418" w:hanging="1418"/>
        <w:contextualSpacing/>
        <w:jc w:val="both"/>
        <w:rPr>
          <w:rFonts w:ascii="Times New Roman" w:eastAsiaTheme="minorEastAsia" w:hAnsi="Times New Roman"/>
          <w:iCs/>
          <w:sz w:val="24"/>
        </w:rPr>
      </w:pPr>
      <m:oMath>
        <m:sSub>
          <m:sSubPr>
            <m:ctrlPr>
              <w:rPr>
                <w:rFonts w:ascii="Cambria Math" w:hAnsi="Cambria Math"/>
                <w:iCs/>
              </w:rPr>
            </m:ctrlPr>
          </m:sSubPr>
          <m:e>
            <m:r>
              <m:rPr>
                <m:sty m:val="p"/>
              </m:rPr>
              <w:rPr>
                <w:rFonts w:ascii="Cambria Math" w:hAnsi="Cambria Math"/>
              </w:rPr>
              <m:t>ε</m:t>
            </m:r>
          </m:e>
          <m:sub>
            <m:r>
              <m:rPr>
                <m:sty m:val="p"/>
              </m:rPr>
              <w:rPr>
                <w:rFonts w:ascii="Cambria Math" w:hAnsi="Cambria Math"/>
              </w:rPr>
              <m:t>i,t</m:t>
            </m:r>
          </m:sub>
        </m:sSub>
      </m:oMath>
      <w:r w:rsidR="00D462AF" w:rsidRPr="00935C7F">
        <w:rPr>
          <w:rFonts w:ascii="Times New Roman" w:eastAsiaTheme="minorEastAsia" w:hAnsi="Times New Roman"/>
          <w:iCs/>
          <w:sz w:val="24"/>
        </w:rPr>
        <w:tab/>
      </w:r>
      <w:r w:rsidR="00C634EA" w:rsidRPr="00935C7F">
        <w:rPr>
          <w:rFonts w:ascii="Times New Roman" w:eastAsiaTheme="minorEastAsia" w:hAnsi="Times New Roman"/>
          <w:iCs/>
          <w:sz w:val="24"/>
        </w:rPr>
        <w:t>:</w:t>
      </w:r>
      <w:r w:rsidR="00D462AF" w:rsidRPr="00935C7F">
        <w:rPr>
          <w:rFonts w:ascii="Times New Roman" w:eastAsiaTheme="minorEastAsia" w:hAnsi="Times New Roman"/>
          <w:iCs/>
          <w:sz w:val="24"/>
        </w:rPr>
        <w:t xml:space="preserve"> </w:t>
      </w:r>
      <w:r w:rsidR="00C634EA" w:rsidRPr="00935C7F">
        <w:rPr>
          <w:rFonts w:ascii="Times New Roman" w:eastAsiaTheme="minorEastAsia" w:hAnsi="Times New Roman"/>
          <w:iCs/>
          <w:sz w:val="24"/>
        </w:rPr>
        <w:t>Error term capturing other unobserved factors.</w:t>
      </w:r>
    </w:p>
    <w:p w14:paraId="4AE573E1" w14:textId="77777777" w:rsidR="007A0399" w:rsidRPr="00935C7F" w:rsidRDefault="007A0399" w:rsidP="00686421">
      <w:pPr>
        <w:tabs>
          <w:tab w:val="left" w:pos="1134"/>
        </w:tabs>
        <w:spacing w:after="0"/>
        <w:ind w:left="1418" w:hanging="1418"/>
        <w:contextualSpacing/>
        <w:jc w:val="both"/>
        <w:rPr>
          <w:rFonts w:ascii="Times New Roman" w:eastAsiaTheme="minorEastAsia" w:hAnsi="Times New Roman"/>
          <w:iCs/>
          <w:sz w:val="24"/>
        </w:rPr>
      </w:pPr>
    </w:p>
    <w:p w14:paraId="405BC493" w14:textId="66697A2D" w:rsidR="007A0399" w:rsidRPr="00935C7F" w:rsidRDefault="007A0399" w:rsidP="00686421">
      <w:pPr>
        <w:spacing w:after="0"/>
        <w:ind w:firstLine="426"/>
        <w:jc w:val="both"/>
        <w:rPr>
          <w:rFonts w:ascii="Times New Roman" w:eastAsia="Times New Roman" w:hAnsi="Times New Roman" w:cs="Times New Roman"/>
          <w:sz w:val="24"/>
          <w:szCs w:val="24"/>
          <w:lang w:val="id-ID"/>
        </w:rPr>
      </w:pPr>
      <w:r w:rsidRPr="00935C7F">
        <w:rPr>
          <w:rFonts w:ascii="Times New Roman" w:eastAsia="Times New Roman" w:hAnsi="Times New Roman" w:cs="Times New Roman"/>
          <w:sz w:val="24"/>
          <w:szCs w:val="24"/>
        </w:rPr>
        <w:t xml:space="preserve">In addition to the primary analysis, this study conducts robustness checks to address potential endogeneity issues and validate the model's reliability. Following </w:t>
      </w:r>
      <w:r w:rsidR="00F62B71" w:rsidRPr="00935C7F">
        <w:rPr>
          <w:rFonts w:ascii="Times New Roman" w:eastAsia="Times New Roman" w:hAnsi="Times New Roman" w:cs="Times New Roman"/>
          <w:sz w:val="24"/>
          <w:szCs w:val="24"/>
        </w:rPr>
        <w:fldChar w:fldCharType="begin"/>
      </w:r>
      <w:r w:rsidR="00333370" w:rsidRPr="00935C7F">
        <w:rPr>
          <w:rFonts w:ascii="Times New Roman" w:eastAsia="Times New Roman" w:hAnsi="Times New Roman" w:cs="Times New Roman"/>
          <w:sz w:val="24"/>
          <w:szCs w:val="24"/>
        </w:rPr>
        <w:instrText xml:space="preserve"> ADDIN ZOTERO_ITEM CSL_CITATION {"citationID":"G10EtneI","properties":{"formattedCitation":"(Wooldridge, 2012)","plainCitation":"(Wooldridge, 2012)","dontUpdate":true,"noteIndex":0},"citationItems":[{"id":792,"uris":["http://zotero.org/users/10852507/items/UDFF58R5"],"itemData":{"id":792,"type":"article-journal","title":"Introductory Econometrics: A Modern Approach","volume":"20","author":[{"family":"Wooldridge","given":"Jeffrey"}],"issued":{"date-parts":[["2013",1,1]]}}}],"schema":"https://github.com/citation-style-language/schema/raw/master/csl-citation.json"} </w:instrText>
      </w:r>
      <w:r w:rsidR="00F62B71" w:rsidRPr="00935C7F">
        <w:rPr>
          <w:rFonts w:ascii="Times New Roman" w:eastAsia="Times New Roman" w:hAnsi="Times New Roman" w:cs="Times New Roman"/>
          <w:sz w:val="24"/>
          <w:szCs w:val="24"/>
        </w:rPr>
        <w:fldChar w:fldCharType="separate"/>
      </w:r>
      <w:hyperlink w:anchor="Wooldridge" w:history="1">
        <w:r w:rsidR="00F62B71" w:rsidRPr="00935C7F">
          <w:rPr>
            <w:rStyle w:val="Hyperlink"/>
            <w:rFonts w:ascii="Times New Roman" w:hAnsi="Times New Roman" w:cs="Times New Roman"/>
            <w:sz w:val="24"/>
            <w:u w:val="none"/>
          </w:rPr>
          <w:t>Wooldr</w:t>
        </w:r>
        <w:r w:rsidR="00AE3ECC">
          <w:rPr>
            <w:rStyle w:val="Hyperlink"/>
            <w:rFonts w:ascii="Times New Roman" w:hAnsi="Times New Roman" w:cs="Times New Roman"/>
            <w:sz w:val="24"/>
            <w:u w:val="none"/>
          </w:rPr>
          <w:t>idge</w:t>
        </w:r>
        <w:r w:rsidR="00F62B71" w:rsidRPr="00935C7F">
          <w:rPr>
            <w:rStyle w:val="Hyperlink"/>
            <w:rFonts w:ascii="Times New Roman" w:hAnsi="Times New Roman" w:cs="Times New Roman"/>
            <w:sz w:val="24"/>
            <w:u w:val="none"/>
          </w:rPr>
          <w:t xml:space="preserve"> </w:t>
        </w:r>
        <w:r w:rsidR="00706D1A">
          <w:rPr>
            <w:rStyle w:val="Hyperlink"/>
            <w:rFonts w:ascii="Times New Roman" w:hAnsi="Times New Roman" w:cs="Times New Roman"/>
            <w:sz w:val="24"/>
            <w:u w:val="none"/>
            <w:lang w:val="id-ID"/>
          </w:rPr>
          <w:lastRenderedPageBreak/>
          <w:t>(</w:t>
        </w:r>
        <w:r w:rsidR="00F62B71" w:rsidRPr="00935C7F">
          <w:rPr>
            <w:rStyle w:val="Hyperlink"/>
            <w:rFonts w:ascii="Times New Roman" w:hAnsi="Times New Roman" w:cs="Times New Roman"/>
            <w:sz w:val="24"/>
            <w:u w:val="none"/>
          </w:rPr>
          <w:t>2013</w:t>
        </w:r>
      </w:hyperlink>
      <w:r w:rsidR="00F62B71" w:rsidRPr="00935C7F">
        <w:rPr>
          <w:rFonts w:ascii="Times New Roman" w:hAnsi="Times New Roman" w:cs="Times New Roman"/>
          <w:sz w:val="24"/>
        </w:rPr>
        <w:t>)</w:t>
      </w:r>
      <w:r w:rsidR="00F62B71" w:rsidRPr="00935C7F">
        <w:rPr>
          <w:rFonts w:ascii="Times New Roman" w:eastAsia="Times New Roman" w:hAnsi="Times New Roman" w:cs="Times New Roman"/>
          <w:sz w:val="24"/>
          <w:szCs w:val="24"/>
        </w:rPr>
        <w:fldChar w:fldCharType="end"/>
      </w:r>
      <w:r w:rsidRPr="00935C7F">
        <w:rPr>
          <w:rFonts w:ascii="Times New Roman" w:eastAsia="Times New Roman" w:hAnsi="Times New Roman" w:cs="Times New Roman"/>
          <w:sz w:val="24"/>
          <w:szCs w:val="24"/>
        </w:rPr>
        <w:t xml:space="preserve"> methodological recommendations, the first robustness test involves re-estimating the model by systematically excluding control variables. Furthermore, the trading volume variable is re-specified using the natural logarithm of </w:t>
      </w:r>
      <w:r w:rsidR="00706D1A">
        <w:rPr>
          <w:rFonts w:ascii="Times New Roman" w:eastAsia="Times New Roman" w:hAnsi="Times New Roman" w:cs="Times New Roman"/>
          <w:sz w:val="24"/>
          <w:szCs w:val="24"/>
        </w:rPr>
        <w:t xml:space="preserve">the </w:t>
      </w:r>
      <w:r w:rsidRPr="00935C7F">
        <w:rPr>
          <w:rFonts w:ascii="Times New Roman" w:eastAsia="Times New Roman" w:hAnsi="Times New Roman" w:cs="Times New Roman"/>
          <w:sz w:val="24"/>
          <w:szCs w:val="24"/>
        </w:rPr>
        <w:t>sum of shares traded (instead of average volume) as an alternative proxy. To strengthen the robustness of findings, investment risk is measured using both daily and weekly stock return data, ensuring the results are not sensitive to temporal aggregation biases.</w:t>
      </w:r>
    </w:p>
    <w:p w14:paraId="73E90E7C" w14:textId="77777777" w:rsidR="00D462AF" w:rsidRPr="00935C7F" w:rsidRDefault="00D462AF" w:rsidP="00686421">
      <w:pPr>
        <w:spacing w:after="0"/>
        <w:jc w:val="both"/>
        <w:rPr>
          <w:rFonts w:ascii="Times New Roman" w:eastAsia="Times New Roman" w:hAnsi="Times New Roman" w:cs="Times New Roman"/>
          <w:bCs/>
          <w:i/>
          <w:iCs/>
          <w:sz w:val="24"/>
          <w:szCs w:val="24"/>
        </w:rPr>
      </w:pPr>
    </w:p>
    <w:p w14:paraId="1438053C" w14:textId="3884DD20" w:rsidR="00FE0406" w:rsidRPr="00935C7F" w:rsidRDefault="007A3B40" w:rsidP="00686421">
      <w:pPr>
        <w:numPr>
          <w:ilvl w:val="0"/>
          <w:numId w:val="1"/>
        </w:numPr>
        <w:pBdr>
          <w:top w:val="nil"/>
          <w:left w:val="nil"/>
          <w:bottom w:val="nil"/>
          <w:right w:val="nil"/>
          <w:between w:val="nil"/>
        </w:pBdr>
        <w:spacing w:after="0"/>
        <w:ind w:left="426" w:hanging="426"/>
        <w:rPr>
          <w:rFonts w:ascii="Times New Roman" w:eastAsia="Times New Roman" w:hAnsi="Times New Roman" w:cs="Times New Roman"/>
          <w:b/>
          <w:color w:val="000000"/>
          <w:sz w:val="24"/>
          <w:szCs w:val="24"/>
        </w:rPr>
      </w:pPr>
      <w:r w:rsidRPr="00935C7F">
        <w:rPr>
          <w:rFonts w:ascii="Times New Roman" w:eastAsia="Times New Roman" w:hAnsi="Times New Roman" w:cs="Times New Roman"/>
          <w:b/>
          <w:color w:val="000000"/>
          <w:sz w:val="24"/>
          <w:szCs w:val="24"/>
        </w:rPr>
        <w:t>Result</w:t>
      </w:r>
      <w:r w:rsidR="00903B80">
        <w:rPr>
          <w:rFonts w:ascii="Times New Roman" w:eastAsia="Times New Roman" w:hAnsi="Times New Roman" w:cs="Times New Roman"/>
          <w:b/>
          <w:color w:val="000000"/>
          <w:sz w:val="24"/>
          <w:szCs w:val="24"/>
          <w:lang w:val="id-ID"/>
        </w:rPr>
        <w:t>s</w:t>
      </w:r>
      <w:r w:rsidRPr="00935C7F">
        <w:rPr>
          <w:rFonts w:ascii="Times New Roman" w:eastAsia="Times New Roman" w:hAnsi="Times New Roman" w:cs="Times New Roman"/>
          <w:b/>
          <w:color w:val="000000"/>
          <w:sz w:val="24"/>
          <w:szCs w:val="24"/>
        </w:rPr>
        <w:t xml:space="preserve"> and Discussions</w:t>
      </w:r>
    </w:p>
    <w:p w14:paraId="7168C48E" w14:textId="0DBD38BC" w:rsidR="005937A6" w:rsidRPr="00935C7F" w:rsidRDefault="005937A6" w:rsidP="00686421">
      <w:pPr>
        <w:spacing w:after="0"/>
        <w:ind w:firstLine="426"/>
        <w:jc w:val="both"/>
        <w:rPr>
          <w:rFonts w:ascii="Times New Roman" w:eastAsia="Times New Roman" w:hAnsi="Times New Roman" w:cs="Times New Roman"/>
          <w:bCs/>
          <w:color w:val="000000"/>
          <w:sz w:val="24"/>
          <w:szCs w:val="24"/>
        </w:rPr>
      </w:pPr>
      <w:r w:rsidRPr="00935C7F">
        <w:rPr>
          <w:rFonts w:ascii="Times New Roman" w:eastAsia="Times New Roman" w:hAnsi="Times New Roman" w:cs="Times New Roman"/>
          <w:bCs/>
          <w:color w:val="000000"/>
          <w:sz w:val="24"/>
          <w:szCs w:val="24"/>
        </w:rPr>
        <w:t xml:space="preserve">This research investigates how different aspects of KAM disclosures, such as the number of </w:t>
      </w:r>
      <w:r w:rsidR="00BE4252" w:rsidRPr="00935C7F">
        <w:rPr>
          <w:rFonts w:ascii="Times New Roman" w:eastAsia="Times New Roman" w:hAnsi="Times New Roman" w:cs="Times New Roman"/>
          <w:bCs/>
          <w:color w:val="000000"/>
          <w:sz w:val="24"/>
          <w:szCs w:val="24"/>
        </w:rPr>
        <w:t>KAM</w:t>
      </w:r>
      <w:r w:rsidRPr="00935C7F">
        <w:rPr>
          <w:rFonts w:ascii="Times New Roman" w:eastAsia="Times New Roman" w:hAnsi="Times New Roman" w:cs="Times New Roman"/>
          <w:bCs/>
          <w:color w:val="000000"/>
          <w:sz w:val="24"/>
          <w:szCs w:val="24"/>
        </w:rPr>
        <w:t xml:space="preserve"> disclosed, the length of KAM-related paragraphs, and the inclusion of monetary information, influence the perception of investment risk. Additionally, the section explores the role of control variables, including audit opinion, the type of auditor (Big 4), and volume trading, in shaping investor decisions. By examining the relationships between these variables, the study seeks to provide insights into how KAM disclosures may reduce information asymmetry and enhance transparency, thereby helping investors make more informed decisions and mitigating potential risks in the market. The results are interpreted in relation to the existing literature, providing a deeper understanding of how KAM disclosures can influence corporate governance and investment outcomes.</w:t>
      </w:r>
    </w:p>
    <w:p w14:paraId="63EC5A05" w14:textId="2CCA3995" w:rsidR="005937A6" w:rsidRPr="00935C7F" w:rsidRDefault="005937A6" w:rsidP="00686421">
      <w:pPr>
        <w:spacing w:after="0"/>
        <w:ind w:left="-2" w:firstLine="428"/>
        <w:jc w:val="both"/>
        <w:rPr>
          <w:rFonts w:ascii="Times New Roman" w:eastAsia="Times New Roman" w:hAnsi="Times New Roman" w:cs="Times New Roman"/>
          <w:bCs/>
          <w:color w:val="000000"/>
          <w:sz w:val="24"/>
          <w:szCs w:val="24"/>
          <w:lang w:val="id-ID"/>
        </w:rPr>
      </w:pPr>
      <w:r w:rsidRPr="00935C7F">
        <w:rPr>
          <w:rFonts w:ascii="Times New Roman" w:eastAsia="Times New Roman" w:hAnsi="Times New Roman" w:cs="Times New Roman"/>
          <w:bCs/>
          <w:color w:val="000000"/>
          <w:sz w:val="24"/>
          <w:szCs w:val="24"/>
          <w:lang w:val="id-ID"/>
        </w:rPr>
        <w:t>The descriptive statistics presented in Table 3 provide an overview of the variables included in the study, which focuses on the relationship between KAM disclosures and investment risk. The table presents the mean, minimum, maximum, and standard deviation of the continuous variables, as well as the distribution of dummy variables.</w:t>
      </w:r>
    </w:p>
    <w:p w14:paraId="7D4661FB" w14:textId="77777777" w:rsidR="005937A6" w:rsidRDefault="005937A6" w:rsidP="00686421">
      <w:pPr>
        <w:spacing w:after="0"/>
        <w:ind w:left="-2" w:firstLineChars="178" w:firstLine="427"/>
        <w:jc w:val="both"/>
        <w:rPr>
          <w:rFonts w:ascii="Times New Roman" w:eastAsia="Times New Roman" w:hAnsi="Times New Roman" w:cs="Times New Roman"/>
          <w:bCs/>
          <w:color w:val="000000"/>
          <w:sz w:val="24"/>
          <w:szCs w:val="24"/>
          <w:lang w:val="id-ID"/>
        </w:rPr>
      </w:pPr>
      <w:r w:rsidRPr="00935C7F">
        <w:rPr>
          <w:rFonts w:ascii="Times New Roman" w:eastAsia="Times New Roman" w:hAnsi="Times New Roman" w:cs="Times New Roman"/>
          <w:bCs/>
          <w:color w:val="000000"/>
          <w:sz w:val="24"/>
          <w:szCs w:val="24"/>
          <w:lang w:val="id-ID"/>
        </w:rPr>
        <w:t>Starting with the investment risk (RISK), the mean value is relatively low at 0.0324, indicating that the typical company in the sample shows a moderate level of variability in stock returns. The minimum value (0.005) suggests that some companies have very low stock return variability, while the maximum value (0.086) shows a small number of companies experiencing higher stock return volatility. The standard deviation (0.0151) indicates that there is relatively low variability in the RISK variable across the sample, suggesting that most companies in the sample exhibit similar levels of investment risk.</w:t>
      </w:r>
    </w:p>
    <w:p w14:paraId="20D85322" w14:textId="77777777" w:rsidR="001D757C" w:rsidRPr="00935C7F" w:rsidRDefault="001D757C" w:rsidP="00686421">
      <w:pPr>
        <w:spacing w:after="0"/>
        <w:ind w:left="-2" w:firstLineChars="178" w:firstLine="427"/>
        <w:jc w:val="both"/>
        <w:rPr>
          <w:rFonts w:ascii="Times New Roman" w:eastAsia="Times New Roman" w:hAnsi="Times New Roman" w:cs="Times New Roman"/>
          <w:bCs/>
          <w:color w:val="000000"/>
          <w:sz w:val="24"/>
          <w:szCs w:val="24"/>
          <w:lang w:val="id-ID"/>
        </w:rPr>
      </w:pPr>
    </w:p>
    <w:p w14:paraId="2E06F47E" w14:textId="57959740" w:rsidR="007E3513" w:rsidRPr="00935C7F" w:rsidRDefault="007E3513" w:rsidP="00686421">
      <w:pPr>
        <w:spacing w:after="0"/>
        <w:ind w:hanging="2"/>
        <w:jc w:val="center"/>
        <w:rPr>
          <w:rFonts w:ascii="Times New Roman" w:eastAsia="Times New Roman" w:hAnsi="Times New Roman" w:cs="Times New Roman"/>
          <w:b/>
          <w:color w:val="000000"/>
          <w:sz w:val="24"/>
          <w:szCs w:val="24"/>
        </w:rPr>
      </w:pPr>
      <w:r w:rsidRPr="00935C7F">
        <w:rPr>
          <w:rFonts w:ascii="Times New Roman" w:eastAsia="Times New Roman" w:hAnsi="Times New Roman" w:cs="Times New Roman"/>
          <w:b/>
          <w:color w:val="000000"/>
          <w:sz w:val="24"/>
          <w:szCs w:val="24"/>
        </w:rPr>
        <w:t>Table 3</w:t>
      </w:r>
      <w:r w:rsidR="001D757C">
        <w:rPr>
          <w:rFonts w:ascii="Times New Roman" w:eastAsia="Times New Roman" w:hAnsi="Times New Roman" w:cs="Times New Roman"/>
          <w:b/>
          <w:color w:val="000000"/>
          <w:sz w:val="24"/>
          <w:szCs w:val="24"/>
          <w:lang w:val="id-ID"/>
        </w:rPr>
        <w:t xml:space="preserve">. </w:t>
      </w:r>
      <w:r w:rsidRPr="00935C7F">
        <w:rPr>
          <w:rFonts w:ascii="Times New Roman" w:eastAsia="Times New Roman" w:hAnsi="Times New Roman" w:cs="Times New Roman"/>
          <w:b/>
          <w:color w:val="000000"/>
          <w:sz w:val="24"/>
          <w:szCs w:val="24"/>
        </w:rPr>
        <w:t>Descriptive Statistics</w:t>
      </w:r>
    </w:p>
    <w:tbl>
      <w:tblPr>
        <w:tblW w:w="82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50"/>
        <w:gridCol w:w="1024"/>
        <w:gridCol w:w="1469"/>
        <w:gridCol w:w="1469"/>
        <w:gridCol w:w="1469"/>
        <w:gridCol w:w="1469"/>
      </w:tblGrid>
      <w:tr w:rsidR="007E3513" w:rsidRPr="001D757C" w14:paraId="4E349514" w14:textId="77777777" w:rsidTr="00C27AA2">
        <w:trPr>
          <w:cantSplit/>
          <w:trHeight w:val="340"/>
          <w:jc w:val="center"/>
        </w:trPr>
        <w:tc>
          <w:tcPr>
            <w:tcW w:w="1350" w:type="dxa"/>
            <w:tcBorders>
              <w:top w:val="single" w:sz="4" w:space="0" w:color="auto"/>
              <w:left w:val="nil"/>
              <w:bottom w:val="single" w:sz="4" w:space="0" w:color="auto"/>
              <w:right w:val="nil"/>
            </w:tcBorders>
            <w:shd w:val="clear" w:color="auto" w:fill="FFFFFF"/>
            <w:vAlign w:val="center"/>
          </w:tcPr>
          <w:p w14:paraId="5BDE4B61" w14:textId="77777777" w:rsidR="007E3513" w:rsidRPr="001D757C" w:rsidRDefault="007E3513" w:rsidP="008D480F">
            <w:pPr>
              <w:spacing w:after="0"/>
              <w:ind w:hanging="2"/>
              <w:jc w:val="center"/>
              <w:rPr>
                <w:rFonts w:ascii="Times New Roman" w:eastAsia="Times New Roman" w:hAnsi="Times New Roman" w:cs="Times New Roman"/>
                <w:b/>
                <w:color w:val="000000"/>
                <w:lang w:val="id-ID"/>
              </w:rPr>
            </w:pPr>
            <w:r w:rsidRPr="001D757C">
              <w:rPr>
                <w:rFonts w:ascii="Times New Roman" w:eastAsia="Times New Roman" w:hAnsi="Times New Roman" w:cs="Times New Roman"/>
                <w:b/>
                <w:color w:val="000000"/>
                <w:lang w:val="id-ID"/>
              </w:rPr>
              <w:t>Variable</w:t>
            </w:r>
          </w:p>
        </w:tc>
        <w:tc>
          <w:tcPr>
            <w:tcW w:w="1024" w:type="dxa"/>
            <w:tcBorders>
              <w:top w:val="single" w:sz="4" w:space="0" w:color="auto"/>
              <w:left w:val="nil"/>
              <w:bottom w:val="single" w:sz="4" w:space="0" w:color="auto"/>
              <w:right w:val="nil"/>
            </w:tcBorders>
            <w:shd w:val="clear" w:color="auto" w:fill="FFFFFF"/>
            <w:vAlign w:val="center"/>
          </w:tcPr>
          <w:p w14:paraId="79FEBE9F" w14:textId="77777777" w:rsidR="007E3513" w:rsidRPr="001D757C" w:rsidRDefault="007E3513" w:rsidP="008D480F">
            <w:pPr>
              <w:spacing w:after="0"/>
              <w:ind w:hanging="2"/>
              <w:jc w:val="center"/>
              <w:rPr>
                <w:rFonts w:ascii="Times New Roman" w:eastAsia="Times New Roman" w:hAnsi="Times New Roman" w:cs="Times New Roman"/>
                <w:b/>
                <w:color w:val="000000"/>
                <w:lang w:val="id-ID"/>
              </w:rPr>
            </w:pPr>
            <w:r w:rsidRPr="001D757C">
              <w:rPr>
                <w:rFonts w:ascii="Times New Roman" w:eastAsia="Times New Roman" w:hAnsi="Times New Roman" w:cs="Times New Roman"/>
                <w:b/>
                <w:color w:val="000000"/>
                <w:lang w:val="id-ID"/>
              </w:rPr>
              <w:t>N</w:t>
            </w:r>
          </w:p>
        </w:tc>
        <w:tc>
          <w:tcPr>
            <w:tcW w:w="1469" w:type="dxa"/>
            <w:tcBorders>
              <w:top w:val="single" w:sz="4" w:space="0" w:color="auto"/>
              <w:left w:val="nil"/>
              <w:bottom w:val="single" w:sz="4" w:space="0" w:color="auto"/>
              <w:right w:val="nil"/>
            </w:tcBorders>
            <w:shd w:val="clear" w:color="auto" w:fill="FFFFFF"/>
            <w:vAlign w:val="center"/>
          </w:tcPr>
          <w:p w14:paraId="3CE3D9AA" w14:textId="77777777" w:rsidR="007E3513" w:rsidRPr="001D757C" w:rsidRDefault="007E3513" w:rsidP="00C27AA2">
            <w:pPr>
              <w:spacing w:after="0"/>
              <w:ind w:hanging="2"/>
              <w:jc w:val="right"/>
              <w:rPr>
                <w:rFonts w:ascii="Times New Roman" w:eastAsia="Times New Roman" w:hAnsi="Times New Roman" w:cs="Times New Roman"/>
                <w:b/>
                <w:color w:val="000000"/>
                <w:lang w:val="id-ID"/>
              </w:rPr>
            </w:pPr>
            <w:r w:rsidRPr="001D757C">
              <w:rPr>
                <w:rFonts w:ascii="Times New Roman" w:eastAsia="Times New Roman" w:hAnsi="Times New Roman" w:cs="Times New Roman"/>
                <w:b/>
                <w:color w:val="000000"/>
                <w:lang w:val="id-ID"/>
              </w:rPr>
              <w:t>Minimum</w:t>
            </w:r>
          </w:p>
        </w:tc>
        <w:tc>
          <w:tcPr>
            <w:tcW w:w="1469" w:type="dxa"/>
            <w:tcBorders>
              <w:top w:val="single" w:sz="4" w:space="0" w:color="auto"/>
              <w:left w:val="nil"/>
              <w:bottom w:val="single" w:sz="4" w:space="0" w:color="auto"/>
              <w:right w:val="nil"/>
            </w:tcBorders>
            <w:shd w:val="clear" w:color="auto" w:fill="FFFFFF"/>
            <w:vAlign w:val="center"/>
          </w:tcPr>
          <w:p w14:paraId="0C222AFF" w14:textId="77777777" w:rsidR="007E3513" w:rsidRPr="001D757C" w:rsidRDefault="007E3513" w:rsidP="00C27AA2">
            <w:pPr>
              <w:spacing w:after="0"/>
              <w:ind w:hanging="2"/>
              <w:jc w:val="right"/>
              <w:rPr>
                <w:rFonts w:ascii="Times New Roman" w:eastAsia="Times New Roman" w:hAnsi="Times New Roman" w:cs="Times New Roman"/>
                <w:b/>
                <w:color w:val="000000"/>
                <w:lang w:val="id-ID"/>
              </w:rPr>
            </w:pPr>
            <w:r w:rsidRPr="001D757C">
              <w:rPr>
                <w:rFonts w:ascii="Times New Roman" w:eastAsia="Times New Roman" w:hAnsi="Times New Roman" w:cs="Times New Roman"/>
                <w:b/>
                <w:color w:val="000000"/>
                <w:lang w:val="id-ID"/>
              </w:rPr>
              <w:t>Maximum</w:t>
            </w:r>
          </w:p>
        </w:tc>
        <w:tc>
          <w:tcPr>
            <w:tcW w:w="1469" w:type="dxa"/>
            <w:tcBorders>
              <w:top w:val="single" w:sz="4" w:space="0" w:color="auto"/>
              <w:left w:val="nil"/>
              <w:bottom w:val="single" w:sz="4" w:space="0" w:color="auto"/>
              <w:right w:val="nil"/>
            </w:tcBorders>
            <w:shd w:val="clear" w:color="auto" w:fill="FFFFFF"/>
            <w:vAlign w:val="center"/>
          </w:tcPr>
          <w:p w14:paraId="15D8431E" w14:textId="77777777" w:rsidR="007E3513" w:rsidRPr="001D757C" w:rsidRDefault="007E3513" w:rsidP="00C27AA2">
            <w:pPr>
              <w:spacing w:after="0"/>
              <w:ind w:hanging="2"/>
              <w:jc w:val="right"/>
              <w:rPr>
                <w:rFonts w:ascii="Times New Roman" w:eastAsia="Times New Roman" w:hAnsi="Times New Roman" w:cs="Times New Roman"/>
                <w:b/>
                <w:color w:val="000000"/>
                <w:lang w:val="id-ID"/>
              </w:rPr>
            </w:pPr>
            <w:r w:rsidRPr="001D757C">
              <w:rPr>
                <w:rFonts w:ascii="Times New Roman" w:eastAsia="Times New Roman" w:hAnsi="Times New Roman" w:cs="Times New Roman"/>
                <w:b/>
                <w:color w:val="000000"/>
                <w:lang w:val="id-ID"/>
              </w:rPr>
              <w:t>Mean</w:t>
            </w:r>
          </w:p>
        </w:tc>
        <w:tc>
          <w:tcPr>
            <w:tcW w:w="1469" w:type="dxa"/>
            <w:tcBorders>
              <w:top w:val="single" w:sz="4" w:space="0" w:color="auto"/>
              <w:left w:val="nil"/>
              <w:bottom w:val="single" w:sz="4" w:space="0" w:color="auto"/>
              <w:right w:val="nil"/>
            </w:tcBorders>
            <w:shd w:val="clear" w:color="auto" w:fill="FFFFFF"/>
            <w:vAlign w:val="center"/>
          </w:tcPr>
          <w:p w14:paraId="24939E82" w14:textId="77777777" w:rsidR="007E3513" w:rsidRPr="001D757C" w:rsidRDefault="007E3513" w:rsidP="00C27AA2">
            <w:pPr>
              <w:spacing w:after="0"/>
              <w:ind w:hanging="2"/>
              <w:jc w:val="right"/>
              <w:rPr>
                <w:rFonts w:ascii="Times New Roman" w:eastAsia="Times New Roman" w:hAnsi="Times New Roman" w:cs="Times New Roman"/>
                <w:b/>
                <w:color w:val="000000"/>
                <w:lang w:val="id-ID"/>
              </w:rPr>
            </w:pPr>
            <w:r w:rsidRPr="001D757C">
              <w:rPr>
                <w:rFonts w:ascii="Times New Roman" w:eastAsia="Times New Roman" w:hAnsi="Times New Roman" w:cs="Times New Roman"/>
                <w:b/>
                <w:color w:val="000000"/>
                <w:lang w:val="id-ID"/>
              </w:rPr>
              <w:t>Std. Deviation</w:t>
            </w:r>
          </w:p>
        </w:tc>
      </w:tr>
      <w:tr w:rsidR="007E3513" w:rsidRPr="001D757C" w14:paraId="26E4C516" w14:textId="77777777" w:rsidTr="00C27AA2">
        <w:trPr>
          <w:cantSplit/>
          <w:jc w:val="center"/>
        </w:trPr>
        <w:tc>
          <w:tcPr>
            <w:tcW w:w="1350" w:type="dxa"/>
            <w:tcBorders>
              <w:top w:val="single" w:sz="4" w:space="0" w:color="auto"/>
              <w:left w:val="nil"/>
              <w:bottom w:val="nil"/>
              <w:right w:val="nil"/>
            </w:tcBorders>
          </w:tcPr>
          <w:p w14:paraId="5247EE6A" w14:textId="77777777" w:rsidR="007E3513" w:rsidRPr="001D757C" w:rsidRDefault="007E3513" w:rsidP="00686421">
            <w:pPr>
              <w:spacing w:after="0"/>
              <w:ind w:hanging="2"/>
              <w:jc w:val="both"/>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RISK</w:t>
            </w:r>
          </w:p>
        </w:tc>
        <w:tc>
          <w:tcPr>
            <w:tcW w:w="1024" w:type="dxa"/>
            <w:tcBorders>
              <w:top w:val="single" w:sz="4" w:space="0" w:color="auto"/>
              <w:left w:val="nil"/>
              <w:bottom w:val="nil"/>
              <w:right w:val="nil"/>
            </w:tcBorders>
            <w:shd w:val="clear" w:color="auto" w:fill="FFFFFF"/>
          </w:tcPr>
          <w:p w14:paraId="2C9243A8" w14:textId="77777777" w:rsidR="007E3513" w:rsidRPr="001D757C" w:rsidRDefault="007E3513" w:rsidP="00FD4B2C">
            <w:pPr>
              <w:spacing w:after="0"/>
              <w:ind w:hanging="2"/>
              <w:jc w:val="center"/>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1358</w:t>
            </w:r>
          </w:p>
        </w:tc>
        <w:tc>
          <w:tcPr>
            <w:tcW w:w="1469" w:type="dxa"/>
            <w:tcBorders>
              <w:top w:val="single" w:sz="4" w:space="0" w:color="auto"/>
              <w:left w:val="nil"/>
              <w:bottom w:val="nil"/>
              <w:right w:val="nil"/>
            </w:tcBorders>
            <w:shd w:val="clear" w:color="auto" w:fill="FFFFFF"/>
          </w:tcPr>
          <w:p w14:paraId="023A5422" w14:textId="77777777" w:rsidR="007E3513" w:rsidRPr="001D757C" w:rsidRDefault="007E3513"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0.005</w:t>
            </w:r>
          </w:p>
        </w:tc>
        <w:tc>
          <w:tcPr>
            <w:tcW w:w="1469" w:type="dxa"/>
            <w:tcBorders>
              <w:top w:val="single" w:sz="4" w:space="0" w:color="auto"/>
              <w:left w:val="nil"/>
              <w:bottom w:val="nil"/>
              <w:right w:val="nil"/>
            </w:tcBorders>
            <w:shd w:val="clear" w:color="auto" w:fill="FFFFFF"/>
          </w:tcPr>
          <w:p w14:paraId="12BA5680" w14:textId="77777777" w:rsidR="007E3513" w:rsidRPr="001D757C" w:rsidRDefault="007E3513"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0.086</w:t>
            </w:r>
          </w:p>
        </w:tc>
        <w:tc>
          <w:tcPr>
            <w:tcW w:w="1469" w:type="dxa"/>
            <w:tcBorders>
              <w:top w:val="single" w:sz="4" w:space="0" w:color="auto"/>
              <w:left w:val="nil"/>
              <w:bottom w:val="nil"/>
              <w:right w:val="nil"/>
            </w:tcBorders>
            <w:shd w:val="clear" w:color="auto" w:fill="FFFFFF"/>
          </w:tcPr>
          <w:p w14:paraId="11951E2F" w14:textId="77777777" w:rsidR="007E3513" w:rsidRPr="001D757C" w:rsidRDefault="007E3513"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0.0324</w:t>
            </w:r>
          </w:p>
        </w:tc>
        <w:tc>
          <w:tcPr>
            <w:tcW w:w="1469" w:type="dxa"/>
            <w:tcBorders>
              <w:top w:val="single" w:sz="4" w:space="0" w:color="auto"/>
              <w:left w:val="nil"/>
              <w:bottom w:val="nil"/>
              <w:right w:val="nil"/>
            </w:tcBorders>
            <w:shd w:val="clear" w:color="auto" w:fill="FFFFFF"/>
          </w:tcPr>
          <w:p w14:paraId="20B3A59A" w14:textId="77777777" w:rsidR="007E3513" w:rsidRPr="001D757C" w:rsidRDefault="007E3513"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0.0151</w:t>
            </w:r>
          </w:p>
        </w:tc>
      </w:tr>
      <w:tr w:rsidR="007E3513" w:rsidRPr="001D757C" w14:paraId="2EF5CA45" w14:textId="77777777" w:rsidTr="00C27AA2">
        <w:trPr>
          <w:cantSplit/>
          <w:jc w:val="center"/>
        </w:trPr>
        <w:tc>
          <w:tcPr>
            <w:tcW w:w="1350" w:type="dxa"/>
            <w:tcBorders>
              <w:top w:val="nil"/>
              <w:left w:val="nil"/>
              <w:bottom w:val="nil"/>
              <w:right w:val="nil"/>
            </w:tcBorders>
          </w:tcPr>
          <w:p w14:paraId="3169A30D" w14:textId="77777777" w:rsidR="007E3513" w:rsidRPr="001D757C" w:rsidRDefault="007E3513" w:rsidP="00686421">
            <w:pPr>
              <w:spacing w:after="0"/>
              <w:ind w:hanging="2"/>
              <w:jc w:val="both"/>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KAM1</w:t>
            </w:r>
          </w:p>
        </w:tc>
        <w:tc>
          <w:tcPr>
            <w:tcW w:w="1024" w:type="dxa"/>
            <w:tcBorders>
              <w:top w:val="nil"/>
              <w:left w:val="nil"/>
              <w:bottom w:val="nil"/>
              <w:right w:val="nil"/>
            </w:tcBorders>
            <w:shd w:val="clear" w:color="auto" w:fill="FFFFFF"/>
          </w:tcPr>
          <w:p w14:paraId="3CA0FD31" w14:textId="77777777" w:rsidR="007E3513" w:rsidRPr="001D757C" w:rsidRDefault="007E3513" w:rsidP="00FD4B2C">
            <w:pPr>
              <w:spacing w:after="0"/>
              <w:ind w:hanging="2"/>
              <w:jc w:val="center"/>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1358</w:t>
            </w:r>
          </w:p>
        </w:tc>
        <w:tc>
          <w:tcPr>
            <w:tcW w:w="1469" w:type="dxa"/>
            <w:tcBorders>
              <w:top w:val="nil"/>
              <w:left w:val="nil"/>
              <w:bottom w:val="nil"/>
              <w:right w:val="nil"/>
            </w:tcBorders>
            <w:shd w:val="clear" w:color="auto" w:fill="FFFFFF"/>
          </w:tcPr>
          <w:p w14:paraId="071E27FB" w14:textId="77777777" w:rsidR="007E3513" w:rsidRPr="001D757C" w:rsidRDefault="007E3513"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w:t>
            </w:r>
          </w:p>
        </w:tc>
        <w:tc>
          <w:tcPr>
            <w:tcW w:w="1469" w:type="dxa"/>
            <w:tcBorders>
              <w:top w:val="nil"/>
              <w:left w:val="nil"/>
              <w:bottom w:val="nil"/>
              <w:right w:val="nil"/>
            </w:tcBorders>
            <w:shd w:val="clear" w:color="auto" w:fill="FFFFFF"/>
          </w:tcPr>
          <w:p w14:paraId="2AF0803B" w14:textId="77777777" w:rsidR="007E3513" w:rsidRPr="001D757C" w:rsidRDefault="007E3513"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6</w:t>
            </w:r>
          </w:p>
        </w:tc>
        <w:tc>
          <w:tcPr>
            <w:tcW w:w="1469" w:type="dxa"/>
            <w:tcBorders>
              <w:top w:val="nil"/>
              <w:left w:val="nil"/>
              <w:bottom w:val="nil"/>
              <w:right w:val="nil"/>
            </w:tcBorders>
            <w:shd w:val="clear" w:color="auto" w:fill="FFFFFF"/>
          </w:tcPr>
          <w:p w14:paraId="67742C2D" w14:textId="77777777" w:rsidR="007E3513" w:rsidRPr="001D757C" w:rsidRDefault="007E3513"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1.32</w:t>
            </w:r>
          </w:p>
        </w:tc>
        <w:tc>
          <w:tcPr>
            <w:tcW w:w="1469" w:type="dxa"/>
            <w:tcBorders>
              <w:top w:val="nil"/>
              <w:left w:val="nil"/>
              <w:bottom w:val="nil"/>
              <w:right w:val="nil"/>
            </w:tcBorders>
            <w:shd w:val="clear" w:color="auto" w:fill="FFFFFF"/>
          </w:tcPr>
          <w:p w14:paraId="6ECFA4E5" w14:textId="77777777" w:rsidR="007E3513" w:rsidRPr="001D757C" w:rsidRDefault="007E3513"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0.668</w:t>
            </w:r>
          </w:p>
        </w:tc>
      </w:tr>
      <w:tr w:rsidR="007E3513" w:rsidRPr="001D757C" w14:paraId="3DE31DC7" w14:textId="77777777" w:rsidTr="00C27AA2">
        <w:trPr>
          <w:cantSplit/>
          <w:jc w:val="center"/>
        </w:trPr>
        <w:tc>
          <w:tcPr>
            <w:tcW w:w="1350" w:type="dxa"/>
            <w:tcBorders>
              <w:top w:val="nil"/>
              <w:left w:val="nil"/>
              <w:bottom w:val="nil"/>
              <w:right w:val="nil"/>
            </w:tcBorders>
          </w:tcPr>
          <w:p w14:paraId="265D9442" w14:textId="77777777" w:rsidR="007E3513" w:rsidRPr="001D757C" w:rsidRDefault="007E3513" w:rsidP="00686421">
            <w:pPr>
              <w:spacing w:after="0"/>
              <w:ind w:hanging="2"/>
              <w:jc w:val="both"/>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KAM2</w:t>
            </w:r>
          </w:p>
        </w:tc>
        <w:tc>
          <w:tcPr>
            <w:tcW w:w="1024" w:type="dxa"/>
            <w:tcBorders>
              <w:top w:val="nil"/>
              <w:left w:val="nil"/>
              <w:bottom w:val="nil"/>
              <w:right w:val="nil"/>
            </w:tcBorders>
            <w:shd w:val="clear" w:color="auto" w:fill="FFFFFF"/>
          </w:tcPr>
          <w:p w14:paraId="6F0D5D9F" w14:textId="77777777" w:rsidR="007E3513" w:rsidRPr="001D757C" w:rsidRDefault="007E3513" w:rsidP="00FD4B2C">
            <w:pPr>
              <w:spacing w:after="0"/>
              <w:ind w:hanging="2"/>
              <w:jc w:val="center"/>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1358</w:t>
            </w:r>
          </w:p>
        </w:tc>
        <w:tc>
          <w:tcPr>
            <w:tcW w:w="1469" w:type="dxa"/>
            <w:tcBorders>
              <w:top w:val="nil"/>
              <w:left w:val="nil"/>
              <w:bottom w:val="nil"/>
              <w:right w:val="nil"/>
            </w:tcBorders>
            <w:shd w:val="clear" w:color="auto" w:fill="FFFFFF"/>
          </w:tcPr>
          <w:p w14:paraId="6ECD9F0F" w14:textId="77777777" w:rsidR="007E3513" w:rsidRPr="001D757C" w:rsidRDefault="007E3513"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w:t>
            </w:r>
          </w:p>
        </w:tc>
        <w:tc>
          <w:tcPr>
            <w:tcW w:w="1469" w:type="dxa"/>
            <w:tcBorders>
              <w:top w:val="nil"/>
              <w:left w:val="nil"/>
              <w:bottom w:val="nil"/>
              <w:right w:val="nil"/>
            </w:tcBorders>
            <w:shd w:val="clear" w:color="auto" w:fill="FFFFFF"/>
          </w:tcPr>
          <w:p w14:paraId="615BFDDB" w14:textId="77777777" w:rsidR="007E3513" w:rsidRPr="001D757C" w:rsidRDefault="007E3513"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10</w:t>
            </w:r>
          </w:p>
        </w:tc>
        <w:tc>
          <w:tcPr>
            <w:tcW w:w="1469" w:type="dxa"/>
            <w:tcBorders>
              <w:top w:val="nil"/>
              <w:left w:val="nil"/>
              <w:bottom w:val="nil"/>
              <w:right w:val="nil"/>
            </w:tcBorders>
            <w:shd w:val="clear" w:color="auto" w:fill="FFFFFF"/>
          </w:tcPr>
          <w:p w14:paraId="21269AB2" w14:textId="77777777" w:rsidR="007E3513" w:rsidRPr="001D757C" w:rsidRDefault="007E3513"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2.23</w:t>
            </w:r>
          </w:p>
        </w:tc>
        <w:tc>
          <w:tcPr>
            <w:tcW w:w="1469" w:type="dxa"/>
            <w:tcBorders>
              <w:top w:val="nil"/>
              <w:left w:val="nil"/>
              <w:bottom w:val="nil"/>
              <w:right w:val="nil"/>
            </w:tcBorders>
            <w:shd w:val="clear" w:color="auto" w:fill="FFFFFF"/>
          </w:tcPr>
          <w:p w14:paraId="610953DD" w14:textId="77777777" w:rsidR="007E3513" w:rsidRPr="001D757C" w:rsidRDefault="007E3513"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1.231</w:t>
            </w:r>
          </w:p>
        </w:tc>
      </w:tr>
      <w:tr w:rsidR="007E3513" w:rsidRPr="001D757C" w14:paraId="6D12726A" w14:textId="77777777" w:rsidTr="00C27AA2">
        <w:trPr>
          <w:cantSplit/>
          <w:jc w:val="center"/>
        </w:trPr>
        <w:tc>
          <w:tcPr>
            <w:tcW w:w="1350" w:type="dxa"/>
            <w:tcBorders>
              <w:top w:val="nil"/>
              <w:left w:val="nil"/>
              <w:bottom w:val="single" w:sz="4" w:space="0" w:color="auto"/>
              <w:right w:val="nil"/>
            </w:tcBorders>
          </w:tcPr>
          <w:p w14:paraId="4CFA22A0" w14:textId="77777777" w:rsidR="007E3513" w:rsidRPr="001D757C" w:rsidRDefault="007E3513" w:rsidP="00686421">
            <w:pPr>
              <w:spacing w:after="0"/>
              <w:ind w:hanging="2"/>
              <w:jc w:val="both"/>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TVOL</w:t>
            </w:r>
          </w:p>
        </w:tc>
        <w:tc>
          <w:tcPr>
            <w:tcW w:w="1024" w:type="dxa"/>
            <w:tcBorders>
              <w:top w:val="nil"/>
              <w:left w:val="nil"/>
              <w:bottom w:val="single" w:sz="4" w:space="0" w:color="auto"/>
              <w:right w:val="nil"/>
            </w:tcBorders>
            <w:shd w:val="clear" w:color="auto" w:fill="FFFFFF"/>
          </w:tcPr>
          <w:p w14:paraId="330F2AF8" w14:textId="77777777" w:rsidR="007E3513" w:rsidRPr="001D757C" w:rsidRDefault="007E3513" w:rsidP="00FD4B2C">
            <w:pPr>
              <w:spacing w:after="0"/>
              <w:ind w:hanging="2"/>
              <w:jc w:val="center"/>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1358</w:t>
            </w:r>
          </w:p>
        </w:tc>
        <w:tc>
          <w:tcPr>
            <w:tcW w:w="1469" w:type="dxa"/>
            <w:tcBorders>
              <w:top w:val="nil"/>
              <w:left w:val="nil"/>
              <w:bottom w:val="single" w:sz="4" w:space="0" w:color="auto"/>
              <w:right w:val="nil"/>
            </w:tcBorders>
            <w:shd w:val="clear" w:color="auto" w:fill="FFFFFF"/>
          </w:tcPr>
          <w:p w14:paraId="67F03393" w14:textId="77777777" w:rsidR="007E3513" w:rsidRPr="001D757C" w:rsidRDefault="007E3513"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6.559</w:t>
            </w:r>
          </w:p>
        </w:tc>
        <w:tc>
          <w:tcPr>
            <w:tcW w:w="1469" w:type="dxa"/>
            <w:tcBorders>
              <w:top w:val="nil"/>
              <w:left w:val="nil"/>
              <w:bottom w:val="single" w:sz="4" w:space="0" w:color="auto"/>
              <w:right w:val="nil"/>
            </w:tcBorders>
            <w:shd w:val="clear" w:color="auto" w:fill="FFFFFF"/>
          </w:tcPr>
          <w:p w14:paraId="04F7732F" w14:textId="77777777" w:rsidR="007E3513" w:rsidRPr="001D757C" w:rsidRDefault="007E3513"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22.21</w:t>
            </w:r>
          </w:p>
        </w:tc>
        <w:tc>
          <w:tcPr>
            <w:tcW w:w="1469" w:type="dxa"/>
            <w:tcBorders>
              <w:top w:val="nil"/>
              <w:left w:val="nil"/>
              <w:bottom w:val="single" w:sz="4" w:space="0" w:color="auto"/>
              <w:right w:val="nil"/>
            </w:tcBorders>
            <w:shd w:val="clear" w:color="auto" w:fill="FFFFFF"/>
          </w:tcPr>
          <w:p w14:paraId="240A9151" w14:textId="77777777" w:rsidR="007E3513" w:rsidRPr="001D757C" w:rsidRDefault="007E3513"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14.593</w:t>
            </w:r>
          </w:p>
        </w:tc>
        <w:tc>
          <w:tcPr>
            <w:tcW w:w="1469" w:type="dxa"/>
            <w:tcBorders>
              <w:top w:val="nil"/>
              <w:left w:val="nil"/>
              <w:bottom w:val="single" w:sz="4" w:space="0" w:color="auto"/>
              <w:right w:val="nil"/>
            </w:tcBorders>
            <w:shd w:val="clear" w:color="auto" w:fill="FFFFFF"/>
          </w:tcPr>
          <w:p w14:paraId="44758F97" w14:textId="77777777" w:rsidR="007E3513" w:rsidRPr="001D757C" w:rsidRDefault="007E3513"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2.807</w:t>
            </w:r>
          </w:p>
        </w:tc>
      </w:tr>
    </w:tbl>
    <w:p w14:paraId="77BC2F2F" w14:textId="77777777" w:rsidR="007E3513" w:rsidRPr="00FD4B2C" w:rsidRDefault="007E3513" w:rsidP="00686421">
      <w:pPr>
        <w:spacing w:after="0"/>
        <w:jc w:val="both"/>
        <w:rPr>
          <w:rFonts w:ascii="Times New Roman" w:eastAsia="Times New Roman" w:hAnsi="Times New Roman" w:cs="Times New Roman"/>
          <w:color w:val="000000"/>
          <w:sz w:val="16"/>
          <w:szCs w:val="16"/>
          <w:lang w:val="id-ID"/>
        </w:rPr>
      </w:pPr>
    </w:p>
    <w:tbl>
      <w:tblPr>
        <w:tblW w:w="82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34"/>
        <w:gridCol w:w="1540"/>
        <w:gridCol w:w="2370"/>
        <w:gridCol w:w="2251"/>
      </w:tblGrid>
      <w:tr w:rsidR="007E3513" w:rsidRPr="001D757C" w14:paraId="7542CFEE" w14:textId="77777777" w:rsidTr="00C27AA2">
        <w:trPr>
          <w:cantSplit/>
          <w:trHeight w:val="340"/>
          <w:jc w:val="center"/>
        </w:trPr>
        <w:tc>
          <w:tcPr>
            <w:tcW w:w="2134" w:type="dxa"/>
            <w:tcBorders>
              <w:top w:val="single" w:sz="4" w:space="0" w:color="auto"/>
              <w:left w:val="nil"/>
              <w:bottom w:val="single" w:sz="4" w:space="0" w:color="auto"/>
              <w:right w:val="nil"/>
            </w:tcBorders>
            <w:shd w:val="clear" w:color="auto" w:fill="FFFFFF"/>
            <w:vAlign w:val="center"/>
          </w:tcPr>
          <w:p w14:paraId="096B26D2" w14:textId="77777777" w:rsidR="007E3513" w:rsidRPr="001D757C" w:rsidRDefault="007E3513" w:rsidP="00FD4B2C">
            <w:pPr>
              <w:spacing w:after="0"/>
              <w:ind w:hanging="2"/>
              <w:jc w:val="center"/>
              <w:rPr>
                <w:rFonts w:ascii="Times New Roman" w:eastAsia="Times New Roman" w:hAnsi="Times New Roman" w:cs="Times New Roman"/>
                <w:b/>
                <w:color w:val="000000"/>
                <w:lang w:val="id-ID"/>
              </w:rPr>
            </w:pPr>
            <w:r w:rsidRPr="001D757C">
              <w:rPr>
                <w:rFonts w:ascii="Times New Roman" w:eastAsia="Times New Roman" w:hAnsi="Times New Roman" w:cs="Times New Roman"/>
                <w:b/>
                <w:color w:val="000000"/>
                <w:lang w:val="id-ID"/>
              </w:rPr>
              <w:t>Dummy Var.</w:t>
            </w:r>
          </w:p>
        </w:tc>
        <w:tc>
          <w:tcPr>
            <w:tcW w:w="1540" w:type="dxa"/>
            <w:tcBorders>
              <w:top w:val="single" w:sz="4" w:space="0" w:color="auto"/>
              <w:left w:val="nil"/>
              <w:bottom w:val="single" w:sz="4" w:space="0" w:color="auto"/>
              <w:right w:val="nil"/>
            </w:tcBorders>
            <w:shd w:val="clear" w:color="auto" w:fill="FFFFFF"/>
            <w:vAlign w:val="center"/>
          </w:tcPr>
          <w:p w14:paraId="6EBD0CCB" w14:textId="77777777" w:rsidR="007E3513" w:rsidRPr="001D757C" w:rsidRDefault="007E3513" w:rsidP="00FD4B2C">
            <w:pPr>
              <w:spacing w:after="0"/>
              <w:ind w:hanging="2"/>
              <w:jc w:val="center"/>
              <w:rPr>
                <w:rFonts w:ascii="Times New Roman" w:eastAsia="Times New Roman" w:hAnsi="Times New Roman" w:cs="Times New Roman"/>
                <w:b/>
                <w:color w:val="000000"/>
                <w:lang w:val="id-ID"/>
              </w:rPr>
            </w:pPr>
            <w:r w:rsidRPr="001D757C">
              <w:rPr>
                <w:rFonts w:ascii="Times New Roman" w:eastAsia="Times New Roman" w:hAnsi="Times New Roman" w:cs="Times New Roman"/>
                <w:b/>
                <w:color w:val="000000"/>
                <w:lang w:val="id-ID"/>
              </w:rPr>
              <w:t>N</w:t>
            </w:r>
          </w:p>
        </w:tc>
        <w:tc>
          <w:tcPr>
            <w:tcW w:w="2370" w:type="dxa"/>
            <w:tcBorders>
              <w:top w:val="single" w:sz="4" w:space="0" w:color="auto"/>
              <w:left w:val="nil"/>
              <w:bottom w:val="single" w:sz="4" w:space="0" w:color="auto"/>
              <w:right w:val="nil"/>
            </w:tcBorders>
            <w:shd w:val="clear" w:color="auto" w:fill="FFFFFF"/>
            <w:vAlign w:val="center"/>
          </w:tcPr>
          <w:p w14:paraId="65A0C506" w14:textId="77777777" w:rsidR="007E3513" w:rsidRPr="001D757C" w:rsidRDefault="007E3513" w:rsidP="00C27AA2">
            <w:pPr>
              <w:spacing w:after="0"/>
              <w:ind w:hanging="2"/>
              <w:jc w:val="right"/>
              <w:rPr>
                <w:rFonts w:ascii="Times New Roman" w:eastAsia="Times New Roman" w:hAnsi="Times New Roman" w:cs="Times New Roman"/>
                <w:b/>
                <w:color w:val="000000"/>
                <w:lang w:val="id-ID"/>
              </w:rPr>
            </w:pPr>
            <w:r w:rsidRPr="001D757C">
              <w:rPr>
                <w:rFonts w:ascii="Times New Roman" w:eastAsia="Times New Roman" w:hAnsi="Times New Roman" w:cs="Times New Roman"/>
                <w:b/>
                <w:color w:val="000000"/>
                <w:lang w:val="id-ID"/>
              </w:rPr>
              <w:t>0</w:t>
            </w:r>
          </w:p>
        </w:tc>
        <w:tc>
          <w:tcPr>
            <w:tcW w:w="2251" w:type="dxa"/>
            <w:tcBorders>
              <w:top w:val="single" w:sz="4" w:space="0" w:color="auto"/>
              <w:left w:val="nil"/>
              <w:bottom w:val="single" w:sz="4" w:space="0" w:color="auto"/>
              <w:right w:val="nil"/>
            </w:tcBorders>
            <w:shd w:val="clear" w:color="auto" w:fill="FFFFFF"/>
            <w:vAlign w:val="center"/>
          </w:tcPr>
          <w:p w14:paraId="63B36BFE" w14:textId="77777777" w:rsidR="007E3513" w:rsidRPr="001D757C" w:rsidRDefault="007E3513" w:rsidP="00C27AA2">
            <w:pPr>
              <w:spacing w:after="0"/>
              <w:ind w:hanging="2"/>
              <w:jc w:val="right"/>
              <w:rPr>
                <w:rFonts w:ascii="Times New Roman" w:eastAsia="Times New Roman" w:hAnsi="Times New Roman" w:cs="Times New Roman"/>
                <w:b/>
                <w:color w:val="000000"/>
                <w:lang w:val="id-ID"/>
              </w:rPr>
            </w:pPr>
            <w:r w:rsidRPr="001D757C">
              <w:rPr>
                <w:rFonts w:ascii="Times New Roman" w:eastAsia="Times New Roman" w:hAnsi="Times New Roman" w:cs="Times New Roman"/>
                <w:b/>
                <w:color w:val="000000"/>
                <w:lang w:val="id-ID"/>
              </w:rPr>
              <w:t>1</w:t>
            </w:r>
          </w:p>
        </w:tc>
      </w:tr>
      <w:tr w:rsidR="007E3513" w:rsidRPr="001D757C" w14:paraId="463D898B" w14:textId="77777777" w:rsidTr="00C27AA2">
        <w:trPr>
          <w:cantSplit/>
          <w:trHeight w:val="372"/>
          <w:jc w:val="center"/>
        </w:trPr>
        <w:tc>
          <w:tcPr>
            <w:tcW w:w="2134" w:type="dxa"/>
            <w:tcBorders>
              <w:top w:val="single" w:sz="4" w:space="0" w:color="auto"/>
              <w:left w:val="nil"/>
              <w:bottom w:val="nil"/>
              <w:right w:val="nil"/>
            </w:tcBorders>
          </w:tcPr>
          <w:p w14:paraId="1F2FC371" w14:textId="77777777" w:rsidR="007E3513" w:rsidRPr="001D757C" w:rsidRDefault="007E3513" w:rsidP="00686421">
            <w:pPr>
              <w:spacing w:after="0"/>
              <w:ind w:hanging="2"/>
              <w:jc w:val="both"/>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KAM3</w:t>
            </w:r>
          </w:p>
        </w:tc>
        <w:tc>
          <w:tcPr>
            <w:tcW w:w="1540" w:type="dxa"/>
            <w:tcBorders>
              <w:top w:val="single" w:sz="4" w:space="0" w:color="auto"/>
              <w:left w:val="nil"/>
              <w:bottom w:val="nil"/>
              <w:right w:val="nil"/>
            </w:tcBorders>
            <w:shd w:val="clear" w:color="auto" w:fill="FFFFFF"/>
          </w:tcPr>
          <w:p w14:paraId="066981C6" w14:textId="77777777" w:rsidR="007E3513" w:rsidRPr="001D757C" w:rsidRDefault="007E3513" w:rsidP="00FD4B2C">
            <w:pPr>
              <w:spacing w:after="0"/>
              <w:ind w:hanging="2"/>
              <w:jc w:val="center"/>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1358</w:t>
            </w:r>
          </w:p>
        </w:tc>
        <w:tc>
          <w:tcPr>
            <w:tcW w:w="2370" w:type="dxa"/>
            <w:tcBorders>
              <w:top w:val="single" w:sz="4" w:space="0" w:color="auto"/>
              <w:left w:val="nil"/>
              <w:bottom w:val="nil"/>
              <w:right w:val="nil"/>
            </w:tcBorders>
            <w:shd w:val="clear" w:color="auto" w:fill="FFFFFF"/>
          </w:tcPr>
          <w:p w14:paraId="18A4337E" w14:textId="77777777" w:rsidR="007E3513" w:rsidRPr="001D757C" w:rsidRDefault="007E3513"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234 (17.2%)</w:t>
            </w:r>
          </w:p>
        </w:tc>
        <w:tc>
          <w:tcPr>
            <w:tcW w:w="2251" w:type="dxa"/>
            <w:tcBorders>
              <w:top w:val="single" w:sz="4" w:space="0" w:color="auto"/>
              <w:left w:val="nil"/>
              <w:bottom w:val="nil"/>
              <w:right w:val="nil"/>
            </w:tcBorders>
            <w:shd w:val="clear" w:color="auto" w:fill="FFFFFF"/>
          </w:tcPr>
          <w:p w14:paraId="6E5822D7" w14:textId="77777777" w:rsidR="007E3513" w:rsidRPr="001D757C" w:rsidRDefault="007E3513"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1124 (82.8%)</w:t>
            </w:r>
          </w:p>
        </w:tc>
      </w:tr>
      <w:tr w:rsidR="007E3513" w:rsidRPr="001D757C" w14:paraId="130586D4" w14:textId="77777777" w:rsidTr="00C27AA2">
        <w:trPr>
          <w:cantSplit/>
          <w:trHeight w:val="389"/>
          <w:jc w:val="center"/>
        </w:trPr>
        <w:tc>
          <w:tcPr>
            <w:tcW w:w="2134" w:type="dxa"/>
            <w:tcBorders>
              <w:top w:val="nil"/>
              <w:left w:val="nil"/>
              <w:bottom w:val="nil"/>
              <w:right w:val="nil"/>
            </w:tcBorders>
          </w:tcPr>
          <w:p w14:paraId="41D261A7" w14:textId="77777777" w:rsidR="007E3513" w:rsidRPr="001D757C" w:rsidRDefault="007E3513" w:rsidP="00686421">
            <w:pPr>
              <w:spacing w:after="0"/>
              <w:ind w:hanging="2"/>
              <w:jc w:val="both"/>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AUOP</w:t>
            </w:r>
          </w:p>
        </w:tc>
        <w:tc>
          <w:tcPr>
            <w:tcW w:w="1540" w:type="dxa"/>
            <w:tcBorders>
              <w:top w:val="nil"/>
              <w:left w:val="nil"/>
              <w:bottom w:val="nil"/>
              <w:right w:val="nil"/>
            </w:tcBorders>
            <w:shd w:val="clear" w:color="auto" w:fill="FFFFFF"/>
          </w:tcPr>
          <w:p w14:paraId="3EF91A6F" w14:textId="77777777" w:rsidR="007E3513" w:rsidRPr="001D757C" w:rsidRDefault="007E3513" w:rsidP="00FD4B2C">
            <w:pPr>
              <w:spacing w:after="0"/>
              <w:ind w:hanging="2"/>
              <w:jc w:val="center"/>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1358</w:t>
            </w:r>
          </w:p>
        </w:tc>
        <w:tc>
          <w:tcPr>
            <w:tcW w:w="2370" w:type="dxa"/>
            <w:tcBorders>
              <w:top w:val="nil"/>
              <w:left w:val="nil"/>
              <w:bottom w:val="nil"/>
              <w:right w:val="nil"/>
            </w:tcBorders>
            <w:shd w:val="clear" w:color="auto" w:fill="FFFFFF"/>
          </w:tcPr>
          <w:p w14:paraId="7577FB33" w14:textId="77777777" w:rsidR="007E3513" w:rsidRPr="001D757C" w:rsidRDefault="007E3513"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11   (0.8%)</w:t>
            </w:r>
          </w:p>
        </w:tc>
        <w:tc>
          <w:tcPr>
            <w:tcW w:w="2251" w:type="dxa"/>
            <w:tcBorders>
              <w:top w:val="nil"/>
              <w:left w:val="nil"/>
              <w:bottom w:val="nil"/>
              <w:right w:val="nil"/>
            </w:tcBorders>
            <w:shd w:val="clear" w:color="auto" w:fill="FFFFFF"/>
          </w:tcPr>
          <w:p w14:paraId="16ECBC6E" w14:textId="77777777" w:rsidR="007E3513" w:rsidRPr="001D757C" w:rsidRDefault="007E3513"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1347 (99.2%)</w:t>
            </w:r>
          </w:p>
        </w:tc>
      </w:tr>
      <w:tr w:rsidR="007E3513" w:rsidRPr="001D757C" w14:paraId="52ED358C" w14:textId="77777777" w:rsidTr="00C27AA2">
        <w:trPr>
          <w:cantSplit/>
          <w:trHeight w:val="389"/>
          <w:jc w:val="center"/>
        </w:trPr>
        <w:tc>
          <w:tcPr>
            <w:tcW w:w="2134" w:type="dxa"/>
            <w:tcBorders>
              <w:top w:val="nil"/>
              <w:left w:val="nil"/>
              <w:bottom w:val="single" w:sz="4" w:space="0" w:color="auto"/>
              <w:right w:val="nil"/>
            </w:tcBorders>
          </w:tcPr>
          <w:p w14:paraId="561235B3" w14:textId="77777777" w:rsidR="007E3513" w:rsidRPr="001D757C" w:rsidRDefault="007E3513" w:rsidP="00686421">
            <w:pPr>
              <w:spacing w:after="0"/>
              <w:ind w:hanging="2"/>
              <w:jc w:val="both"/>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BIG4</w:t>
            </w:r>
          </w:p>
        </w:tc>
        <w:tc>
          <w:tcPr>
            <w:tcW w:w="1540" w:type="dxa"/>
            <w:tcBorders>
              <w:top w:val="nil"/>
              <w:left w:val="nil"/>
              <w:bottom w:val="single" w:sz="4" w:space="0" w:color="auto"/>
              <w:right w:val="nil"/>
            </w:tcBorders>
            <w:shd w:val="clear" w:color="auto" w:fill="FFFFFF"/>
          </w:tcPr>
          <w:p w14:paraId="13A30732" w14:textId="77777777" w:rsidR="007E3513" w:rsidRPr="001D757C" w:rsidRDefault="007E3513" w:rsidP="00FD4B2C">
            <w:pPr>
              <w:spacing w:after="0"/>
              <w:ind w:hanging="2"/>
              <w:jc w:val="center"/>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1358</w:t>
            </w:r>
          </w:p>
        </w:tc>
        <w:tc>
          <w:tcPr>
            <w:tcW w:w="2370" w:type="dxa"/>
            <w:tcBorders>
              <w:top w:val="nil"/>
              <w:left w:val="nil"/>
              <w:bottom w:val="single" w:sz="4" w:space="0" w:color="auto"/>
              <w:right w:val="nil"/>
            </w:tcBorders>
            <w:shd w:val="clear" w:color="auto" w:fill="FFFFFF"/>
          </w:tcPr>
          <w:p w14:paraId="7057C39B" w14:textId="77777777" w:rsidR="007E3513" w:rsidRPr="001D757C" w:rsidRDefault="007E3513"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964 (71.0%)</w:t>
            </w:r>
          </w:p>
        </w:tc>
        <w:tc>
          <w:tcPr>
            <w:tcW w:w="2251" w:type="dxa"/>
            <w:tcBorders>
              <w:top w:val="nil"/>
              <w:left w:val="nil"/>
              <w:bottom w:val="single" w:sz="4" w:space="0" w:color="auto"/>
              <w:right w:val="nil"/>
            </w:tcBorders>
            <w:shd w:val="clear" w:color="auto" w:fill="FFFFFF"/>
          </w:tcPr>
          <w:p w14:paraId="71F80538" w14:textId="77777777" w:rsidR="007E3513" w:rsidRPr="001D757C" w:rsidRDefault="007E3513"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394 (29.0%)</w:t>
            </w:r>
          </w:p>
        </w:tc>
      </w:tr>
    </w:tbl>
    <w:p w14:paraId="0AAC1592" w14:textId="77777777" w:rsidR="007E3513" w:rsidRPr="001D757C" w:rsidRDefault="007E3513" w:rsidP="00686421">
      <w:pPr>
        <w:spacing w:after="0"/>
        <w:jc w:val="both"/>
        <w:rPr>
          <w:rFonts w:ascii="Times New Roman" w:eastAsia="Times New Roman" w:hAnsi="Times New Roman" w:cs="Times New Roman"/>
          <w:bCs/>
          <w:color w:val="000000"/>
          <w:lang w:val="id-ID"/>
        </w:rPr>
      </w:pPr>
    </w:p>
    <w:p w14:paraId="1029D72B" w14:textId="7048A100" w:rsidR="005937A6" w:rsidRPr="00935C7F" w:rsidRDefault="005937A6" w:rsidP="00686421">
      <w:pPr>
        <w:spacing w:after="0"/>
        <w:ind w:left="-2" w:firstLineChars="178" w:firstLine="427"/>
        <w:jc w:val="both"/>
        <w:rPr>
          <w:rFonts w:ascii="Times New Roman" w:eastAsia="Times New Roman" w:hAnsi="Times New Roman" w:cs="Times New Roman"/>
          <w:bCs/>
          <w:color w:val="000000"/>
          <w:sz w:val="24"/>
          <w:szCs w:val="24"/>
          <w:lang w:val="id-ID"/>
        </w:rPr>
      </w:pPr>
      <w:r w:rsidRPr="00935C7F">
        <w:rPr>
          <w:rFonts w:ascii="Times New Roman" w:eastAsia="Times New Roman" w:hAnsi="Times New Roman" w:cs="Times New Roman"/>
          <w:bCs/>
          <w:color w:val="000000"/>
          <w:sz w:val="24"/>
          <w:szCs w:val="24"/>
          <w:lang w:val="id-ID"/>
        </w:rPr>
        <w:t xml:space="preserve">Regarding KAM, the three proxies reveal different patterns. The first proxy, KAM1 (the number of </w:t>
      </w:r>
      <w:r w:rsidR="00BE4252" w:rsidRPr="00935C7F">
        <w:rPr>
          <w:rFonts w:ascii="Times New Roman" w:eastAsia="Times New Roman" w:hAnsi="Times New Roman" w:cs="Times New Roman"/>
          <w:bCs/>
          <w:color w:val="000000"/>
          <w:sz w:val="24"/>
          <w:szCs w:val="24"/>
          <w:lang w:val="id-ID"/>
        </w:rPr>
        <w:t>KAM</w:t>
      </w:r>
      <w:r w:rsidRPr="00935C7F">
        <w:rPr>
          <w:rFonts w:ascii="Times New Roman" w:eastAsia="Times New Roman" w:hAnsi="Times New Roman" w:cs="Times New Roman"/>
          <w:bCs/>
          <w:color w:val="000000"/>
          <w:sz w:val="24"/>
          <w:szCs w:val="24"/>
          <w:lang w:val="id-ID"/>
        </w:rPr>
        <w:t xml:space="preserve"> disclosed), has a mean of 1.32</w:t>
      </w:r>
      <w:r w:rsidR="007F3DFF" w:rsidRPr="00935C7F">
        <w:rPr>
          <w:rFonts w:ascii="Times New Roman" w:eastAsia="Times New Roman" w:hAnsi="Times New Roman" w:cs="Times New Roman"/>
          <w:bCs/>
          <w:color w:val="000000"/>
          <w:sz w:val="24"/>
          <w:szCs w:val="24"/>
          <w:lang w:val="id-ID"/>
        </w:rPr>
        <w:t xml:space="preserve"> </w:t>
      </w:r>
      <w:r w:rsidR="007F3DFF" w:rsidRPr="00935C7F">
        <w:rPr>
          <w:rFonts w:ascii="Times New Roman" w:eastAsia="Times New Roman" w:hAnsi="Times New Roman" w:cs="Times New Roman"/>
          <w:bCs/>
          <w:color w:val="000000"/>
          <w:sz w:val="24"/>
          <w:szCs w:val="24"/>
        </w:rPr>
        <w:t>indicat</w:t>
      </w:r>
      <w:r w:rsidR="00BA111D">
        <w:rPr>
          <w:rFonts w:ascii="Times New Roman" w:eastAsia="Times New Roman" w:hAnsi="Times New Roman" w:cs="Times New Roman"/>
          <w:bCs/>
          <w:color w:val="000000"/>
          <w:sz w:val="24"/>
          <w:szCs w:val="24"/>
        </w:rPr>
        <w:t>ing</w:t>
      </w:r>
      <w:r w:rsidR="007F3DFF" w:rsidRPr="00935C7F">
        <w:rPr>
          <w:rFonts w:ascii="Times New Roman" w:eastAsia="Times New Roman" w:hAnsi="Times New Roman" w:cs="Times New Roman"/>
          <w:bCs/>
          <w:color w:val="000000"/>
          <w:sz w:val="24"/>
          <w:szCs w:val="24"/>
        </w:rPr>
        <w:t xml:space="preserve"> most firms report 1–2 </w:t>
      </w:r>
      <w:r w:rsidR="00BE4252" w:rsidRPr="00935C7F">
        <w:rPr>
          <w:rFonts w:ascii="Times New Roman" w:eastAsia="Times New Roman" w:hAnsi="Times New Roman" w:cs="Times New Roman"/>
          <w:bCs/>
          <w:color w:val="000000"/>
          <w:sz w:val="24"/>
          <w:szCs w:val="24"/>
        </w:rPr>
        <w:lastRenderedPageBreak/>
        <w:t>KAM</w:t>
      </w:r>
      <w:r w:rsidR="00D917E3" w:rsidRPr="00935C7F">
        <w:rPr>
          <w:rFonts w:ascii="Times New Roman" w:eastAsia="Times New Roman" w:hAnsi="Times New Roman" w:cs="Times New Roman"/>
          <w:bCs/>
          <w:color w:val="000000"/>
          <w:sz w:val="24"/>
          <w:szCs w:val="24"/>
        </w:rPr>
        <w:t xml:space="preserve"> suggesting room for enhanced transparency</w:t>
      </w:r>
      <w:r w:rsidRPr="00935C7F">
        <w:rPr>
          <w:rFonts w:ascii="Times New Roman" w:eastAsia="Times New Roman" w:hAnsi="Times New Roman" w:cs="Times New Roman"/>
          <w:bCs/>
          <w:color w:val="000000"/>
          <w:sz w:val="24"/>
          <w:szCs w:val="24"/>
          <w:lang w:val="id-ID"/>
        </w:rPr>
        <w:t xml:space="preserve">. The standard deviation of 0.668 indicates moderate variability </w:t>
      </w:r>
      <w:r w:rsidR="00D917E3" w:rsidRPr="00935C7F">
        <w:rPr>
          <w:rFonts w:ascii="Times New Roman" w:eastAsia="Times New Roman" w:hAnsi="Times New Roman" w:cs="Times New Roman"/>
          <w:bCs/>
          <w:color w:val="000000"/>
          <w:sz w:val="24"/>
          <w:szCs w:val="24"/>
        </w:rPr>
        <w:t>suggesting reasonable consistency in disclosure quantity across firms</w:t>
      </w:r>
      <w:r w:rsidR="00403372" w:rsidRPr="00935C7F">
        <w:rPr>
          <w:rFonts w:ascii="Times New Roman" w:eastAsia="Times New Roman" w:hAnsi="Times New Roman" w:cs="Times New Roman"/>
          <w:bCs/>
          <w:color w:val="000000"/>
          <w:sz w:val="24"/>
          <w:szCs w:val="24"/>
        </w:rPr>
        <w:t xml:space="preserve"> reflecting divergent auditor practices—while some provide minimal compliance, others offer detailed discussions</w:t>
      </w:r>
      <w:r w:rsidRPr="00935C7F">
        <w:rPr>
          <w:rFonts w:ascii="Times New Roman" w:eastAsia="Times New Roman" w:hAnsi="Times New Roman" w:cs="Times New Roman"/>
          <w:bCs/>
          <w:color w:val="000000"/>
          <w:sz w:val="24"/>
          <w:szCs w:val="24"/>
          <w:lang w:val="id-ID"/>
        </w:rPr>
        <w:t xml:space="preserve">. The second proxy, KAM2 (the number of paragraphs dedicated to </w:t>
      </w:r>
      <w:r w:rsidR="00BE4252" w:rsidRPr="00935C7F">
        <w:rPr>
          <w:rFonts w:ascii="Times New Roman" w:eastAsia="Times New Roman" w:hAnsi="Times New Roman" w:cs="Times New Roman"/>
          <w:bCs/>
          <w:color w:val="000000"/>
          <w:sz w:val="24"/>
          <w:szCs w:val="24"/>
          <w:lang w:val="id-ID"/>
        </w:rPr>
        <w:t>KAM</w:t>
      </w:r>
      <w:r w:rsidRPr="00935C7F">
        <w:rPr>
          <w:rFonts w:ascii="Times New Roman" w:eastAsia="Times New Roman" w:hAnsi="Times New Roman" w:cs="Times New Roman"/>
          <w:bCs/>
          <w:color w:val="000000"/>
          <w:sz w:val="24"/>
          <w:szCs w:val="24"/>
          <w:lang w:val="id-ID"/>
        </w:rPr>
        <w:t xml:space="preserve"> in the audit report), has a higher mean of 2.23 and a more considerable range, from 0 to 10. The higher standard deviation of 1.231 suggests that the length of the KAM-related disclosures varies more widely across companies</w:t>
      </w:r>
      <w:r w:rsidR="00403372" w:rsidRPr="00935C7F">
        <w:rPr>
          <w:rFonts w:ascii="Times New Roman" w:eastAsia="Times New Roman" w:hAnsi="Times New Roman" w:cs="Times New Roman"/>
          <w:bCs/>
          <w:color w:val="000000"/>
          <w:sz w:val="24"/>
          <w:szCs w:val="24"/>
          <w:lang w:val="id-ID"/>
        </w:rPr>
        <w:t xml:space="preserve">, </w:t>
      </w:r>
      <w:r w:rsidR="00403372" w:rsidRPr="00935C7F">
        <w:rPr>
          <w:rFonts w:ascii="Times New Roman" w:eastAsia="Times New Roman" w:hAnsi="Times New Roman" w:cs="Times New Roman"/>
          <w:bCs/>
          <w:color w:val="000000"/>
          <w:sz w:val="24"/>
          <w:szCs w:val="24"/>
        </w:rPr>
        <w:t>reflecting divergent auditor practices—while some provide minimal compliance, others offer detailed discussions</w:t>
      </w:r>
      <w:r w:rsidRPr="00935C7F">
        <w:rPr>
          <w:rFonts w:ascii="Times New Roman" w:eastAsia="Times New Roman" w:hAnsi="Times New Roman" w:cs="Times New Roman"/>
          <w:bCs/>
          <w:color w:val="000000"/>
          <w:sz w:val="24"/>
          <w:szCs w:val="24"/>
          <w:lang w:val="id-ID"/>
        </w:rPr>
        <w:t xml:space="preserve">. The third proxy, KAM3 (monetary information within KAM disclosures), is represented by a dummy variable in the table. The percentage of companies that disclose monetary information within </w:t>
      </w:r>
      <w:r w:rsidR="00BE4252" w:rsidRPr="00935C7F">
        <w:rPr>
          <w:rFonts w:ascii="Times New Roman" w:eastAsia="Times New Roman" w:hAnsi="Times New Roman" w:cs="Times New Roman"/>
          <w:bCs/>
          <w:color w:val="000000"/>
          <w:sz w:val="24"/>
          <w:szCs w:val="24"/>
          <w:lang w:val="id-ID"/>
        </w:rPr>
        <w:t>KAM</w:t>
      </w:r>
      <w:r w:rsidRPr="00935C7F">
        <w:rPr>
          <w:rFonts w:ascii="Times New Roman" w:eastAsia="Times New Roman" w:hAnsi="Times New Roman" w:cs="Times New Roman"/>
          <w:bCs/>
          <w:color w:val="000000"/>
          <w:sz w:val="24"/>
          <w:szCs w:val="24"/>
          <w:lang w:val="id-ID"/>
        </w:rPr>
        <w:t xml:space="preserve"> is 82.8%, indicating that the majority of firms provide some form of monetary information in their KAM disclosures.</w:t>
      </w:r>
    </w:p>
    <w:p w14:paraId="2D7D9BC6" w14:textId="77777777" w:rsidR="005937A6" w:rsidRPr="00935C7F" w:rsidRDefault="005937A6" w:rsidP="00686421">
      <w:pPr>
        <w:spacing w:after="0"/>
        <w:ind w:left="-2" w:firstLineChars="178" w:firstLine="427"/>
        <w:jc w:val="both"/>
        <w:rPr>
          <w:rFonts w:ascii="Times New Roman" w:eastAsia="Times New Roman" w:hAnsi="Times New Roman" w:cs="Times New Roman"/>
          <w:bCs/>
          <w:color w:val="000000"/>
          <w:sz w:val="24"/>
          <w:szCs w:val="24"/>
          <w:lang w:val="id-ID"/>
        </w:rPr>
      </w:pPr>
      <w:r w:rsidRPr="00935C7F">
        <w:rPr>
          <w:rFonts w:ascii="Times New Roman" w:eastAsia="Times New Roman" w:hAnsi="Times New Roman" w:cs="Times New Roman"/>
          <w:bCs/>
          <w:color w:val="000000"/>
          <w:sz w:val="24"/>
          <w:szCs w:val="24"/>
          <w:lang w:val="id-ID"/>
        </w:rPr>
        <w:t>For the control variables, Audit Opinion (AUOP) shows that almost all companies in the sample (99.2%) received a clean audit opinion, as indicated by the dummy variable distribution. This suggests a relatively low occurrence of audit qualifications within the sample. Similarly, Big 4 Auditor (BIG4) also demonstrates that the majority of companies in the sample (71.0%) are audited by one of the Big 4 firms, which is consistent with the global trend where large and established companies tend to be audited by major international audit firms. Volume Trading (TVOL), which measures the natural logarithm of daily average trading volume, has a mean value of 14.593 with a standard deviation of 2.807, showing substantial variation in stock trading volumes across companies. The minimum value of 6.559 and the maximum of 22.21 further highlight the diversity in trading activity.</w:t>
      </w:r>
    </w:p>
    <w:p w14:paraId="7B629870" w14:textId="7B43CBBF" w:rsidR="00403372" w:rsidRPr="00935C7F" w:rsidRDefault="005937A6" w:rsidP="00686421">
      <w:pPr>
        <w:spacing w:after="0"/>
        <w:ind w:left="-2" w:firstLineChars="178" w:firstLine="427"/>
        <w:jc w:val="both"/>
        <w:rPr>
          <w:rFonts w:ascii="Times New Roman" w:eastAsia="Times New Roman" w:hAnsi="Times New Roman" w:cs="Times New Roman"/>
          <w:bCs/>
          <w:color w:val="000000"/>
          <w:sz w:val="24"/>
          <w:szCs w:val="24"/>
          <w:lang w:val="id-ID"/>
        </w:rPr>
      </w:pPr>
      <w:r w:rsidRPr="00935C7F">
        <w:rPr>
          <w:rFonts w:ascii="Times New Roman" w:eastAsia="Times New Roman" w:hAnsi="Times New Roman" w:cs="Times New Roman"/>
          <w:bCs/>
          <w:color w:val="000000"/>
          <w:sz w:val="24"/>
          <w:szCs w:val="24"/>
          <w:lang w:val="id-ID"/>
        </w:rPr>
        <w:t xml:space="preserve">The descriptive statistics provide a clear explanation that while most companies disclose a relatively small number of </w:t>
      </w:r>
      <w:r w:rsidR="00BE4252" w:rsidRPr="00935C7F">
        <w:rPr>
          <w:rFonts w:ascii="Times New Roman" w:eastAsia="Times New Roman" w:hAnsi="Times New Roman" w:cs="Times New Roman"/>
          <w:bCs/>
          <w:color w:val="000000"/>
          <w:sz w:val="24"/>
          <w:szCs w:val="24"/>
          <w:lang w:val="id-ID"/>
        </w:rPr>
        <w:t>KAM</w:t>
      </w:r>
      <w:r w:rsidRPr="00935C7F">
        <w:rPr>
          <w:rFonts w:ascii="Times New Roman" w:eastAsia="Times New Roman" w:hAnsi="Times New Roman" w:cs="Times New Roman"/>
          <w:bCs/>
          <w:color w:val="000000"/>
          <w:sz w:val="24"/>
          <w:szCs w:val="24"/>
          <w:lang w:val="id-ID"/>
        </w:rPr>
        <w:t>, there is notable diversity in the depth and content of the KAM disclosures. Additionally, the variables related to investment risk and trading volume display substantial variability, reinforcing the need for further analysis to understand the underlying factors affecting these outcomes.</w:t>
      </w:r>
    </w:p>
    <w:p w14:paraId="0F388349" w14:textId="70EA191E" w:rsidR="005937A6" w:rsidRDefault="005937A6" w:rsidP="00686421">
      <w:pPr>
        <w:spacing w:after="0"/>
        <w:ind w:firstLine="426"/>
        <w:jc w:val="both"/>
        <w:rPr>
          <w:rFonts w:ascii="Times New Roman" w:eastAsia="Times New Roman" w:hAnsi="Times New Roman" w:cs="Times New Roman"/>
          <w:color w:val="000000"/>
          <w:sz w:val="24"/>
          <w:szCs w:val="24"/>
          <w:lang w:val="id-ID"/>
        </w:rPr>
      </w:pPr>
      <w:r w:rsidRPr="00935C7F">
        <w:rPr>
          <w:rFonts w:ascii="Times New Roman" w:eastAsia="Times New Roman" w:hAnsi="Times New Roman" w:cs="Times New Roman"/>
          <w:color w:val="000000"/>
          <w:sz w:val="24"/>
          <w:szCs w:val="24"/>
          <w:lang w:val="id-ID"/>
        </w:rPr>
        <w:t xml:space="preserve">The correlation analysis in Table 4 provides important insights into the relationships between the research variables. The results show that Investment Risk (RISK) exhibits a weak and negative correlation with the number of Key Audit Matters disclosed (KAM1), which suggests that as the number of </w:t>
      </w:r>
      <w:r w:rsidR="00BE4252" w:rsidRPr="00935C7F">
        <w:rPr>
          <w:rFonts w:ascii="Times New Roman" w:eastAsia="Times New Roman" w:hAnsi="Times New Roman" w:cs="Times New Roman"/>
          <w:color w:val="000000"/>
          <w:sz w:val="24"/>
          <w:szCs w:val="24"/>
          <w:lang w:val="id-ID"/>
        </w:rPr>
        <w:t>KAM</w:t>
      </w:r>
      <w:r w:rsidRPr="00935C7F">
        <w:rPr>
          <w:rFonts w:ascii="Times New Roman" w:eastAsia="Times New Roman" w:hAnsi="Times New Roman" w:cs="Times New Roman"/>
          <w:color w:val="000000"/>
          <w:sz w:val="24"/>
          <w:szCs w:val="24"/>
          <w:lang w:val="id-ID"/>
        </w:rPr>
        <w:t xml:space="preserve"> disclosed increases, there may be a slight decrease in the perceived investment risk. This finding supports the notion that more detailed KAM disclosures could potentially enhance transparency and reduce uncertainty for investors. However, the correlation is weak (-0.02), indicating that the relationship is minimal.</w:t>
      </w:r>
    </w:p>
    <w:p w14:paraId="033B1854" w14:textId="77777777" w:rsidR="00BF1534" w:rsidRPr="00935C7F" w:rsidRDefault="00BF1534" w:rsidP="00BF1534">
      <w:pPr>
        <w:spacing w:after="0"/>
        <w:ind w:firstLine="426"/>
        <w:jc w:val="both"/>
        <w:rPr>
          <w:rFonts w:ascii="Times New Roman" w:eastAsia="Times New Roman" w:hAnsi="Times New Roman" w:cs="Times New Roman"/>
          <w:color w:val="000000"/>
          <w:sz w:val="24"/>
          <w:szCs w:val="24"/>
          <w:lang w:val="id-ID"/>
        </w:rPr>
      </w:pPr>
      <w:r w:rsidRPr="00935C7F">
        <w:rPr>
          <w:rFonts w:ascii="Times New Roman" w:eastAsia="Times New Roman" w:hAnsi="Times New Roman" w:cs="Times New Roman"/>
          <w:color w:val="000000"/>
          <w:sz w:val="24"/>
          <w:szCs w:val="24"/>
          <w:lang w:val="id-ID"/>
        </w:rPr>
        <w:t xml:space="preserve">Further examination of KAM2 (the number of paragraphs dedicated to KAM) reveals a </w:t>
      </w:r>
      <w:r w:rsidRPr="00980722">
        <w:rPr>
          <w:rFonts w:ascii="Times New Roman" w:eastAsia="Times New Roman" w:hAnsi="Times New Roman" w:cs="Times New Roman"/>
          <w:color w:val="000000"/>
          <w:sz w:val="24"/>
          <w:szCs w:val="24"/>
        </w:rPr>
        <w:t>weak to moderate</w:t>
      </w:r>
      <w:r w:rsidRPr="00935C7F">
        <w:rPr>
          <w:rFonts w:ascii="Times New Roman" w:eastAsia="Times New Roman" w:hAnsi="Times New Roman" w:cs="Times New Roman"/>
          <w:color w:val="000000"/>
          <w:sz w:val="24"/>
          <w:szCs w:val="24"/>
          <w:lang w:val="id-ID"/>
        </w:rPr>
        <w:t xml:space="preserve"> with KAM3 (the monetary information disclosed within KAM), with a correlation coefficient of 0.212, significant at the 0.01 level. This implies that firms that dedicate more paragraphs to KAM are also more likely to include monetary information, indicating a stronger emphasis on providing detailed financial risk disclosures. The correlation between RISK and KAM2 is negative and statistically significant at the 0.01 level (-0.099), which suggests that more detailed KAM disclosures in the form of additional paragraphs could potentially be associated with lower perceived investment risk. </w:t>
      </w:r>
      <w:r w:rsidRPr="00935C7F">
        <w:rPr>
          <w:rFonts w:ascii="Times New Roman" w:eastAsia="Times New Roman" w:hAnsi="Times New Roman" w:cs="Times New Roman"/>
          <w:color w:val="000000"/>
          <w:sz w:val="24"/>
          <w:szCs w:val="24"/>
          <w:lang w:val="id-ID"/>
        </w:rPr>
        <w:lastRenderedPageBreak/>
        <w:t>This finding aligns with prior research indicating that transparent and comprehensive disclosure helps reduce information asymmetry, thereby reducing the perception of risk.</w:t>
      </w:r>
    </w:p>
    <w:p w14:paraId="0D20F089" w14:textId="77777777" w:rsidR="00BF1534" w:rsidRDefault="00BF1534" w:rsidP="00686421">
      <w:pPr>
        <w:spacing w:after="0"/>
        <w:ind w:hanging="2"/>
        <w:jc w:val="center"/>
        <w:rPr>
          <w:rFonts w:ascii="Times New Roman" w:eastAsia="Times New Roman" w:hAnsi="Times New Roman" w:cs="Times New Roman"/>
          <w:b/>
          <w:bCs/>
          <w:color w:val="000000"/>
          <w:sz w:val="24"/>
          <w:szCs w:val="24"/>
          <w:lang w:val="id-ID"/>
        </w:rPr>
      </w:pPr>
    </w:p>
    <w:p w14:paraId="679CE78D" w14:textId="7C5474D9" w:rsidR="007E3513" w:rsidRPr="001D757C" w:rsidRDefault="007E3513" w:rsidP="00686421">
      <w:pPr>
        <w:spacing w:after="0"/>
        <w:ind w:hanging="2"/>
        <w:jc w:val="center"/>
        <w:rPr>
          <w:rFonts w:ascii="Times New Roman" w:eastAsia="Times New Roman" w:hAnsi="Times New Roman" w:cs="Times New Roman"/>
          <w:b/>
          <w:bCs/>
          <w:color w:val="000000"/>
          <w:sz w:val="24"/>
          <w:szCs w:val="24"/>
        </w:rPr>
      </w:pPr>
      <w:r w:rsidRPr="00935C7F">
        <w:rPr>
          <w:rFonts w:ascii="Times New Roman" w:eastAsia="Times New Roman" w:hAnsi="Times New Roman" w:cs="Times New Roman"/>
          <w:b/>
          <w:bCs/>
          <w:color w:val="000000"/>
          <w:sz w:val="24"/>
          <w:szCs w:val="24"/>
        </w:rPr>
        <w:t>Table 4</w:t>
      </w:r>
      <w:r w:rsidR="001D757C">
        <w:rPr>
          <w:rFonts w:ascii="Times New Roman" w:eastAsia="Times New Roman" w:hAnsi="Times New Roman" w:cs="Times New Roman"/>
          <w:b/>
          <w:bCs/>
          <w:color w:val="000000"/>
          <w:sz w:val="24"/>
          <w:szCs w:val="24"/>
          <w:lang w:val="id-ID"/>
        </w:rPr>
        <w:t xml:space="preserve">. </w:t>
      </w:r>
      <w:r w:rsidRPr="00935C7F">
        <w:rPr>
          <w:rFonts w:ascii="Times New Roman" w:eastAsia="Times New Roman" w:hAnsi="Times New Roman" w:cs="Times New Roman"/>
          <w:b/>
          <w:bCs/>
          <w:sz w:val="24"/>
          <w:szCs w:val="24"/>
        </w:rPr>
        <w:t>Correlation Matrix</w:t>
      </w:r>
    </w:p>
    <w:tbl>
      <w:tblPr>
        <w:tblW w:w="8645" w:type="dxa"/>
        <w:jc w:val="center"/>
        <w:tblBorders>
          <w:top w:val="single" w:sz="4" w:space="0" w:color="auto"/>
          <w:bottom w:val="single" w:sz="4" w:space="0" w:color="auto"/>
        </w:tblBorders>
        <w:tblLook w:val="04A0" w:firstRow="1" w:lastRow="0" w:firstColumn="1" w:lastColumn="0" w:noHBand="0" w:noVBand="1"/>
      </w:tblPr>
      <w:tblGrid>
        <w:gridCol w:w="981"/>
        <w:gridCol w:w="981"/>
        <w:gridCol w:w="981"/>
        <w:gridCol w:w="981"/>
        <w:gridCol w:w="981"/>
        <w:gridCol w:w="981"/>
        <w:gridCol w:w="981"/>
        <w:gridCol w:w="981"/>
        <w:gridCol w:w="797"/>
      </w:tblGrid>
      <w:tr w:rsidR="007E3513" w:rsidRPr="00935C7F" w14:paraId="71E61563" w14:textId="77777777" w:rsidTr="00C27AA2">
        <w:trPr>
          <w:trHeight w:val="415"/>
          <w:tblHeader/>
          <w:jc w:val="center"/>
        </w:trPr>
        <w:tc>
          <w:tcPr>
            <w:tcW w:w="981" w:type="dxa"/>
            <w:tcBorders>
              <w:top w:val="single" w:sz="4" w:space="0" w:color="auto"/>
              <w:bottom w:val="single" w:sz="4" w:space="0" w:color="auto"/>
            </w:tcBorders>
            <w:noWrap/>
            <w:vAlign w:val="center"/>
            <w:hideMark/>
          </w:tcPr>
          <w:p w14:paraId="096BEAF0" w14:textId="77777777" w:rsidR="007E3513" w:rsidRPr="00935C7F" w:rsidRDefault="007E3513" w:rsidP="008D480F">
            <w:pPr>
              <w:spacing w:after="0"/>
              <w:jc w:val="center"/>
              <w:rPr>
                <w:rFonts w:ascii="Times New Roman" w:eastAsia="Times New Roman" w:hAnsi="Times New Roman" w:cs="Times New Roman"/>
                <w:b/>
                <w:bCs/>
                <w:lang w:val="id-ID"/>
              </w:rPr>
            </w:pPr>
          </w:p>
        </w:tc>
        <w:tc>
          <w:tcPr>
            <w:tcW w:w="981" w:type="dxa"/>
            <w:tcBorders>
              <w:top w:val="single" w:sz="4" w:space="0" w:color="auto"/>
              <w:bottom w:val="single" w:sz="4" w:space="0" w:color="auto"/>
            </w:tcBorders>
            <w:noWrap/>
            <w:vAlign w:val="center"/>
            <w:hideMark/>
          </w:tcPr>
          <w:p w14:paraId="0C209D15" w14:textId="77777777" w:rsidR="007E3513" w:rsidRPr="00935C7F" w:rsidRDefault="007E3513" w:rsidP="00C27AA2">
            <w:pPr>
              <w:spacing w:after="0"/>
              <w:jc w:val="right"/>
              <w:rPr>
                <w:rFonts w:ascii="Times New Roman" w:eastAsia="Times New Roman" w:hAnsi="Times New Roman" w:cs="Times New Roman"/>
                <w:b/>
                <w:bCs/>
                <w:color w:val="000000"/>
                <w:lang w:val="id-ID"/>
              </w:rPr>
            </w:pPr>
            <w:r w:rsidRPr="00935C7F">
              <w:rPr>
                <w:rFonts w:ascii="Times New Roman" w:eastAsia="Times New Roman" w:hAnsi="Times New Roman" w:cs="Times New Roman"/>
                <w:b/>
                <w:bCs/>
                <w:color w:val="000000"/>
                <w:lang w:val="id-ID"/>
              </w:rPr>
              <w:t>RISK</w:t>
            </w:r>
          </w:p>
        </w:tc>
        <w:tc>
          <w:tcPr>
            <w:tcW w:w="981" w:type="dxa"/>
            <w:tcBorders>
              <w:top w:val="single" w:sz="4" w:space="0" w:color="auto"/>
              <w:bottom w:val="single" w:sz="4" w:space="0" w:color="auto"/>
            </w:tcBorders>
            <w:noWrap/>
            <w:vAlign w:val="center"/>
            <w:hideMark/>
          </w:tcPr>
          <w:p w14:paraId="5A36E254" w14:textId="77777777" w:rsidR="007E3513" w:rsidRPr="00935C7F" w:rsidRDefault="007E3513" w:rsidP="00C27AA2">
            <w:pPr>
              <w:spacing w:after="0"/>
              <w:jc w:val="right"/>
              <w:rPr>
                <w:rFonts w:ascii="Times New Roman" w:eastAsia="Times New Roman" w:hAnsi="Times New Roman" w:cs="Times New Roman"/>
                <w:b/>
                <w:bCs/>
                <w:color w:val="000000"/>
                <w:lang w:val="id-ID"/>
              </w:rPr>
            </w:pPr>
            <w:r w:rsidRPr="00935C7F">
              <w:rPr>
                <w:rFonts w:ascii="Times New Roman" w:eastAsia="Times New Roman" w:hAnsi="Times New Roman" w:cs="Times New Roman"/>
                <w:b/>
                <w:bCs/>
                <w:color w:val="000000"/>
                <w:lang w:val="id-ID"/>
              </w:rPr>
              <w:t>KAM1</w:t>
            </w:r>
          </w:p>
        </w:tc>
        <w:tc>
          <w:tcPr>
            <w:tcW w:w="981" w:type="dxa"/>
            <w:tcBorders>
              <w:top w:val="single" w:sz="4" w:space="0" w:color="auto"/>
              <w:bottom w:val="single" w:sz="4" w:space="0" w:color="auto"/>
            </w:tcBorders>
            <w:noWrap/>
            <w:vAlign w:val="center"/>
            <w:hideMark/>
          </w:tcPr>
          <w:p w14:paraId="06959719" w14:textId="77777777" w:rsidR="007E3513" w:rsidRPr="00935C7F" w:rsidRDefault="007E3513" w:rsidP="00C27AA2">
            <w:pPr>
              <w:spacing w:after="0"/>
              <w:jc w:val="right"/>
              <w:rPr>
                <w:rFonts w:ascii="Times New Roman" w:eastAsia="Times New Roman" w:hAnsi="Times New Roman" w:cs="Times New Roman"/>
                <w:b/>
                <w:bCs/>
                <w:color w:val="000000"/>
                <w:lang w:val="id-ID"/>
              </w:rPr>
            </w:pPr>
            <w:r w:rsidRPr="00935C7F">
              <w:rPr>
                <w:rFonts w:ascii="Times New Roman" w:eastAsia="Times New Roman" w:hAnsi="Times New Roman" w:cs="Times New Roman"/>
                <w:b/>
                <w:bCs/>
                <w:color w:val="000000"/>
                <w:lang w:val="id-ID"/>
              </w:rPr>
              <w:t>KAM2</w:t>
            </w:r>
          </w:p>
        </w:tc>
        <w:tc>
          <w:tcPr>
            <w:tcW w:w="981" w:type="dxa"/>
            <w:tcBorders>
              <w:top w:val="single" w:sz="4" w:space="0" w:color="auto"/>
              <w:bottom w:val="single" w:sz="4" w:space="0" w:color="auto"/>
            </w:tcBorders>
            <w:noWrap/>
            <w:vAlign w:val="center"/>
            <w:hideMark/>
          </w:tcPr>
          <w:p w14:paraId="33D240BF" w14:textId="77777777" w:rsidR="007E3513" w:rsidRPr="00935C7F" w:rsidRDefault="007E3513" w:rsidP="00C27AA2">
            <w:pPr>
              <w:spacing w:after="0"/>
              <w:jc w:val="right"/>
              <w:rPr>
                <w:rFonts w:ascii="Times New Roman" w:eastAsia="Times New Roman" w:hAnsi="Times New Roman" w:cs="Times New Roman"/>
                <w:b/>
                <w:bCs/>
                <w:color w:val="000000"/>
                <w:lang w:val="id-ID"/>
              </w:rPr>
            </w:pPr>
            <w:r w:rsidRPr="00935C7F">
              <w:rPr>
                <w:rFonts w:ascii="Times New Roman" w:eastAsia="Times New Roman" w:hAnsi="Times New Roman" w:cs="Times New Roman"/>
                <w:b/>
                <w:bCs/>
                <w:color w:val="000000"/>
                <w:lang w:val="id-ID"/>
              </w:rPr>
              <w:t>KAM3</w:t>
            </w:r>
          </w:p>
        </w:tc>
        <w:tc>
          <w:tcPr>
            <w:tcW w:w="981" w:type="dxa"/>
            <w:tcBorders>
              <w:top w:val="single" w:sz="4" w:space="0" w:color="auto"/>
              <w:bottom w:val="single" w:sz="4" w:space="0" w:color="auto"/>
            </w:tcBorders>
            <w:noWrap/>
            <w:vAlign w:val="center"/>
            <w:hideMark/>
          </w:tcPr>
          <w:p w14:paraId="240AAEBD" w14:textId="77777777" w:rsidR="007E3513" w:rsidRPr="00935C7F" w:rsidRDefault="007E3513" w:rsidP="00C27AA2">
            <w:pPr>
              <w:spacing w:after="0"/>
              <w:jc w:val="right"/>
              <w:rPr>
                <w:rFonts w:ascii="Times New Roman" w:eastAsia="Times New Roman" w:hAnsi="Times New Roman" w:cs="Times New Roman"/>
                <w:b/>
                <w:bCs/>
                <w:color w:val="000000"/>
                <w:lang w:val="id-ID"/>
              </w:rPr>
            </w:pPr>
            <w:r w:rsidRPr="00935C7F">
              <w:rPr>
                <w:rFonts w:ascii="Times New Roman" w:eastAsia="Times New Roman" w:hAnsi="Times New Roman" w:cs="Times New Roman"/>
                <w:b/>
                <w:bCs/>
                <w:color w:val="000000"/>
                <w:lang w:val="id-ID"/>
              </w:rPr>
              <w:t>AUOP</w:t>
            </w:r>
          </w:p>
        </w:tc>
        <w:tc>
          <w:tcPr>
            <w:tcW w:w="981" w:type="dxa"/>
            <w:tcBorders>
              <w:top w:val="single" w:sz="4" w:space="0" w:color="auto"/>
              <w:bottom w:val="single" w:sz="4" w:space="0" w:color="auto"/>
            </w:tcBorders>
            <w:noWrap/>
            <w:vAlign w:val="center"/>
            <w:hideMark/>
          </w:tcPr>
          <w:p w14:paraId="48DE49D9" w14:textId="77777777" w:rsidR="007E3513" w:rsidRPr="00935C7F" w:rsidRDefault="007E3513" w:rsidP="00C27AA2">
            <w:pPr>
              <w:spacing w:after="0"/>
              <w:jc w:val="right"/>
              <w:rPr>
                <w:rFonts w:ascii="Times New Roman" w:eastAsia="Times New Roman" w:hAnsi="Times New Roman" w:cs="Times New Roman"/>
                <w:b/>
                <w:bCs/>
                <w:color w:val="000000"/>
                <w:lang w:val="id-ID"/>
              </w:rPr>
            </w:pPr>
            <w:r w:rsidRPr="00935C7F">
              <w:rPr>
                <w:rFonts w:ascii="Times New Roman" w:eastAsia="Times New Roman" w:hAnsi="Times New Roman" w:cs="Times New Roman"/>
                <w:b/>
                <w:bCs/>
                <w:color w:val="000000"/>
                <w:lang w:val="id-ID"/>
              </w:rPr>
              <w:t>BIG4</w:t>
            </w:r>
          </w:p>
        </w:tc>
        <w:tc>
          <w:tcPr>
            <w:tcW w:w="981" w:type="dxa"/>
            <w:tcBorders>
              <w:top w:val="single" w:sz="4" w:space="0" w:color="auto"/>
              <w:bottom w:val="single" w:sz="4" w:space="0" w:color="auto"/>
            </w:tcBorders>
            <w:noWrap/>
            <w:vAlign w:val="center"/>
            <w:hideMark/>
          </w:tcPr>
          <w:p w14:paraId="12C3E4B9" w14:textId="77777777" w:rsidR="007E3513" w:rsidRPr="00935C7F" w:rsidRDefault="007E3513" w:rsidP="00C27AA2">
            <w:pPr>
              <w:spacing w:after="0"/>
              <w:jc w:val="right"/>
              <w:rPr>
                <w:rFonts w:ascii="Times New Roman" w:eastAsia="Times New Roman" w:hAnsi="Times New Roman" w:cs="Times New Roman"/>
                <w:b/>
                <w:bCs/>
                <w:color w:val="000000"/>
                <w:lang w:val="id-ID"/>
              </w:rPr>
            </w:pPr>
            <w:r w:rsidRPr="00935C7F">
              <w:rPr>
                <w:rFonts w:ascii="Times New Roman" w:eastAsia="Times New Roman" w:hAnsi="Times New Roman" w:cs="Times New Roman"/>
                <w:b/>
                <w:bCs/>
                <w:color w:val="000000"/>
                <w:lang w:val="id-ID"/>
              </w:rPr>
              <w:t>TVOL</w:t>
            </w:r>
          </w:p>
        </w:tc>
        <w:tc>
          <w:tcPr>
            <w:tcW w:w="797" w:type="dxa"/>
            <w:tcBorders>
              <w:top w:val="single" w:sz="4" w:space="0" w:color="auto"/>
              <w:bottom w:val="single" w:sz="4" w:space="0" w:color="auto"/>
            </w:tcBorders>
            <w:noWrap/>
            <w:vAlign w:val="center"/>
            <w:hideMark/>
          </w:tcPr>
          <w:p w14:paraId="002A4D5A" w14:textId="77777777" w:rsidR="007E3513" w:rsidRPr="00935C7F" w:rsidRDefault="007E3513" w:rsidP="00C27AA2">
            <w:pPr>
              <w:spacing w:after="0"/>
              <w:jc w:val="right"/>
              <w:rPr>
                <w:rFonts w:ascii="Times New Roman" w:eastAsia="Times New Roman" w:hAnsi="Times New Roman" w:cs="Times New Roman"/>
                <w:b/>
                <w:bCs/>
                <w:color w:val="000000"/>
                <w:lang w:val="id-ID"/>
              </w:rPr>
            </w:pPr>
            <w:r w:rsidRPr="00935C7F">
              <w:rPr>
                <w:rFonts w:ascii="Times New Roman" w:eastAsia="Times New Roman" w:hAnsi="Times New Roman" w:cs="Times New Roman"/>
                <w:b/>
                <w:bCs/>
                <w:color w:val="000000"/>
                <w:lang w:val="id-ID"/>
              </w:rPr>
              <w:t>VIF</w:t>
            </w:r>
          </w:p>
        </w:tc>
      </w:tr>
      <w:tr w:rsidR="007E3513" w:rsidRPr="00935C7F" w14:paraId="1AFE9BB9" w14:textId="77777777" w:rsidTr="00C27AA2">
        <w:trPr>
          <w:trHeight w:val="304"/>
          <w:jc w:val="center"/>
        </w:trPr>
        <w:tc>
          <w:tcPr>
            <w:tcW w:w="981" w:type="dxa"/>
            <w:tcBorders>
              <w:top w:val="single" w:sz="4" w:space="0" w:color="auto"/>
            </w:tcBorders>
            <w:noWrap/>
            <w:vAlign w:val="bottom"/>
            <w:hideMark/>
          </w:tcPr>
          <w:p w14:paraId="22CF70CD" w14:textId="77777777" w:rsidR="007E3513" w:rsidRPr="00BF1534" w:rsidRDefault="007E3513" w:rsidP="00686421">
            <w:pPr>
              <w:spacing w:after="0"/>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RISK</w:t>
            </w:r>
          </w:p>
        </w:tc>
        <w:tc>
          <w:tcPr>
            <w:tcW w:w="981" w:type="dxa"/>
            <w:tcBorders>
              <w:top w:val="single" w:sz="4" w:space="0" w:color="auto"/>
            </w:tcBorders>
            <w:noWrap/>
            <w:hideMark/>
          </w:tcPr>
          <w:p w14:paraId="0B2737AD"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1</w:t>
            </w:r>
          </w:p>
        </w:tc>
        <w:tc>
          <w:tcPr>
            <w:tcW w:w="981" w:type="dxa"/>
            <w:tcBorders>
              <w:top w:val="single" w:sz="4" w:space="0" w:color="auto"/>
            </w:tcBorders>
            <w:noWrap/>
            <w:hideMark/>
          </w:tcPr>
          <w:p w14:paraId="7A8F9B18" w14:textId="77777777" w:rsidR="007E3513" w:rsidRPr="00BF1534" w:rsidRDefault="007E3513" w:rsidP="00C27AA2">
            <w:pPr>
              <w:spacing w:after="0"/>
              <w:jc w:val="right"/>
              <w:rPr>
                <w:rFonts w:ascii="Times New Roman" w:eastAsia="Times New Roman" w:hAnsi="Times New Roman" w:cs="Times New Roman"/>
                <w:color w:val="000000"/>
                <w:lang w:val="id-ID"/>
              </w:rPr>
            </w:pPr>
          </w:p>
        </w:tc>
        <w:tc>
          <w:tcPr>
            <w:tcW w:w="981" w:type="dxa"/>
            <w:tcBorders>
              <w:top w:val="single" w:sz="4" w:space="0" w:color="auto"/>
            </w:tcBorders>
            <w:noWrap/>
            <w:hideMark/>
          </w:tcPr>
          <w:p w14:paraId="723DF136" w14:textId="77777777" w:rsidR="007E3513" w:rsidRPr="00BF1534" w:rsidRDefault="007E3513" w:rsidP="00C27AA2">
            <w:pPr>
              <w:spacing w:after="0"/>
              <w:jc w:val="right"/>
              <w:rPr>
                <w:rFonts w:ascii="Times New Roman" w:eastAsia="Times New Roman" w:hAnsi="Times New Roman" w:cs="Times New Roman"/>
                <w:lang w:val="id-ID"/>
              </w:rPr>
            </w:pPr>
          </w:p>
        </w:tc>
        <w:tc>
          <w:tcPr>
            <w:tcW w:w="981" w:type="dxa"/>
            <w:tcBorders>
              <w:top w:val="single" w:sz="4" w:space="0" w:color="auto"/>
            </w:tcBorders>
            <w:noWrap/>
            <w:hideMark/>
          </w:tcPr>
          <w:p w14:paraId="4D5B8A72" w14:textId="77777777" w:rsidR="007E3513" w:rsidRPr="00BF1534" w:rsidRDefault="007E3513" w:rsidP="00C27AA2">
            <w:pPr>
              <w:spacing w:after="0"/>
              <w:jc w:val="right"/>
              <w:rPr>
                <w:rFonts w:ascii="Times New Roman" w:eastAsia="Times New Roman" w:hAnsi="Times New Roman" w:cs="Times New Roman"/>
                <w:lang w:val="id-ID"/>
              </w:rPr>
            </w:pPr>
          </w:p>
        </w:tc>
        <w:tc>
          <w:tcPr>
            <w:tcW w:w="981" w:type="dxa"/>
            <w:tcBorders>
              <w:top w:val="single" w:sz="4" w:space="0" w:color="auto"/>
            </w:tcBorders>
            <w:noWrap/>
            <w:hideMark/>
          </w:tcPr>
          <w:p w14:paraId="4BDB0B8F" w14:textId="77777777" w:rsidR="007E3513" w:rsidRPr="00BF1534" w:rsidRDefault="007E3513" w:rsidP="00C27AA2">
            <w:pPr>
              <w:spacing w:after="0"/>
              <w:jc w:val="right"/>
              <w:rPr>
                <w:rFonts w:ascii="Times New Roman" w:eastAsia="Times New Roman" w:hAnsi="Times New Roman" w:cs="Times New Roman"/>
                <w:lang w:val="id-ID"/>
              </w:rPr>
            </w:pPr>
          </w:p>
        </w:tc>
        <w:tc>
          <w:tcPr>
            <w:tcW w:w="981" w:type="dxa"/>
            <w:tcBorders>
              <w:top w:val="single" w:sz="4" w:space="0" w:color="auto"/>
            </w:tcBorders>
            <w:noWrap/>
            <w:hideMark/>
          </w:tcPr>
          <w:p w14:paraId="2D57461E" w14:textId="77777777" w:rsidR="007E3513" w:rsidRPr="00BF1534" w:rsidRDefault="007E3513" w:rsidP="00C27AA2">
            <w:pPr>
              <w:spacing w:after="0"/>
              <w:jc w:val="right"/>
              <w:rPr>
                <w:rFonts w:ascii="Times New Roman" w:eastAsia="Times New Roman" w:hAnsi="Times New Roman" w:cs="Times New Roman"/>
                <w:lang w:val="id-ID"/>
              </w:rPr>
            </w:pPr>
          </w:p>
        </w:tc>
        <w:tc>
          <w:tcPr>
            <w:tcW w:w="981" w:type="dxa"/>
            <w:tcBorders>
              <w:top w:val="single" w:sz="4" w:space="0" w:color="auto"/>
            </w:tcBorders>
            <w:noWrap/>
            <w:hideMark/>
          </w:tcPr>
          <w:p w14:paraId="0829A639" w14:textId="77777777" w:rsidR="007E3513" w:rsidRPr="00BF1534" w:rsidRDefault="007E3513" w:rsidP="00C27AA2">
            <w:pPr>
              <w:spacing w:after="0"/>
              <w:jc w:val="right"/>
              <w:rPr>
                <w:rFonts w:ascii="Times New Roman" w:eastAsia="Times New Roman" w:hAnsi="Times New Roman" w:cs="Times New Roman"/>
                <w:lang w:val="id-ID"/>
              </w:rPr>
            </w:pPr>
          </w:p>
        </w:tc>
        <w:tc>
          <w:tcPr>
            <w:tcW w:w="797" w:type="dxa"/>
            <w:tcBorders>
              <w:top w:val="single" w:sz="4" w:space="0" w:color="auto"/>
            </w:tcBorders>
            <w:noWrap/>
          </w:tcPr>
          <w:p w14:paraId="40DA8A76"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w:t>
            </w:r>
          </w:p>
        </w:tc>
      </w:tr>
      <w:tr w:rsidR="007E3513" w:rsidRPr="00935C7F" w14:paraId="002841A6" w14:textId="77777777" w:rsidTr="00C27AA2">
        <w:trPr>
          <w:trHeight w:val="304"/>
          <w:jc w:val="center"/>
        </w:trPr>
        <w:tc>
          <w:tcPr>
            <w:tcW w:w="981" w:type="dxa"/>
            <w:noWrap/>
            <w:vAlign w:val="bottom"/>
            <w:hideMark/>
          </w:tcPr>
          <w:p w14:paraId="34A8CD4B" w14:textId="77777777" w:rsidR="007E3513" w:rsidRPr="00BF1534" w:rsidRDefault="007E3513" w:rsidP="00686421">
            <w:pPr>
              <w:spacing w:after="0"/>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KAM1</w:t>
            </w:r>
          </w:p>
        </w:tc>
        <w:tc>
          <w:tcPr>
            <w:tcW w:w="981" w:type="dxa"/>
            <w:noWrap/>
            <w:hideMark/>
          </w:tcPr>
          <w:p w14:paraId="4AD87BDB"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-0.02</w:t>
            </w:r>
          </w:p>
        </w:tc>
        <w:tc>
          <w:tcPr>
            <w:tcW w:w="981" w:type="dxa"/>
            <w:noWrap/>
            <w:hideMark/>
          </w:tcPr>
          <w:p w14:paraId="6E145094"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1</w:t>
            </w:r>
          </w:p>
        </w:tc>
        <w:tc>
          <w:tcPr>
            <w:tcW w:w="981" w:type="dxa"/>
            <w:noWrap/>
            <w:hideMark/>
          </w:tcPr>
          <w:p w14:paraId="1C643DAC" w14:textId="77777777" w:rsidR="007E3513" w:rsidRPr="00BF1534" w:rsidRDefault="007E3513" w:rsidP="00C27AA2">
            <w:pPr>
              <w:spacing w:after="0"/>
              <w:jc w:val="right"/>
              <w:rPr>
                <w:rFonts w:ascii="Times New Roman" w:eastAsia="Times New Roman" w:hAnsi="Times New Roman" w:cs="Times New Roman"/>
                <w:color w:val="000000"/>
                <w:lang w:val="id-ID"/>
              </w:rPr>
            </w:pPr>
          </w:p>
        </w:tc>
        <w:tc>
          <w:tcPr>
            <w:tcW w:w="981" w:type="dxa"/>
            <w:noWrap/>
            <w:hideMark/>
          </w:tcPr>
          <w:p w14:paraId="4C9EA55B" w14:textId="77777777" w:rsidR="007E3513" w:rsidRPr="00BF1534" w:rsidRDefault="007E3513" w:rsidP="00C27AA2">
            <w:pPr>
              <w:spacing w:after="0"/>
              <w:jc w:val="right"/>
              <w:rPr>
                <w:rFonts w:ascii="Times New Roman" w:eastAsia="Times New Roman" w:hAnsi="Times New Roman" w:cs="Times New Roman"/>
                <w:lang w:val="id-ID"/>
              </w:rPr>
            </w:pPr>
          </w:p>
        </w:tc>
        <w:tc>
          <w:tcPr>
            <w:tcW w:w="981" w:type="dxa"/>
            <w:noWrap/>
            <w:hideMark/>
          </w:tcPr>
          <w:p w14:paraId="7D3A84E6" w14:textId="77777777" w:rsidR="007E3513" w:rsidRPr="00BF1534" w:rsidRDefault="007E3513" w:rsidP="00C27AA2">
            <w:pPr>
              <w:spacing w:after="0"/>
              <w:jc w:val="right"/>
              <w:rPr>
                <w:rFonts w:ascii="Times New Roman" w:eastAsia="Times New Roman" w:hAnsi="Times New Roman" w:cs="Times New Roman"/>
                <w:lang w:val="id-ID"/>
              </w:rPr>
            </w:pPr>
          </w:p>
        </w:tc>
        <w:tc>
          <w:tcPr>
            <w:tcW w:w="981" w:type="dxa"/>
            <w:noWrap/>
            <w:hideMark/>
          </w:tcPr>
          <w:p w14:paraId="49095A86" w14:textId="77777777" w:rsidR="007E3513" w:rsidRPr="00BF1534" w:rsidRDefault="007E3513" w:rsidP="00C27AA2">
            <w:pPr>
              <w:spacing w:after="0"/>
              <w:jc w:val="right"/>
              <w:rPr>
                <w:rFonts w:ascii="Times New Roman" w:eastAsia="Times New Roman" w:hAnsi="Times New Roman" w:cs="Times New Roman"/>
                <w:lang w:val="id-ID"/>
              </w:rPr>
            </w:pPr>
          </w:p>
        </w:tc>
        <w:tc>
          <w:tcPr>
            <w:tcW w:w="981" w:type="dxa"/>
            <w:noWrap/>
            <w:hideMark/>
          </w:tcPr>
          <w:p w14:paraId="06E2A0F9" w14:textId="77777777" w:rsidR="007E3513" w:rsidRPr="00BF1534" w:rsidRDefault="007E3513" w:rsidP="00C27AA2">
            <w:pPr>
              <w:spacing w:after="0"/>
              <w:jc w:val="right"/>
              <w:rPr>
                <w:rFonts w:ascii="Times New Roman" w:eastAsia="Times New Roman" w:hAnsi="Times New Roman" w:cs="Times New Roman"/>
                <w:lang w:val="id-ID"/>
              </w:rPr>
            </w:pPr>
          </w:p>
        </w:tc>
        <w:tc>
          <w:tcPr>
            <w:tcW w:w="797" w:type="dxa"/>
            <w:noWrap/>
          </w:tcPr>
          <w:p w14:paraId="3F461F36"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1.067</w:t>
            </w:r>
          </w:p>
        </w:tc>
      </w:tr>
      <w:tr w:rsidR="007E3513" w:rsidRPr="00935C7F" w14:paraId="1E72C025" w14:textId="77777777" w:rsidTr="00C27AA2">
        <w:trPr>
          <w:trHeight w:val="304"/>
          <w:jc w:val="center"/>
        </w:trPr>
        <w:tc>
          <w:tcPr>
            <w:tcW w:w="981" w:type="dxa"/>
            <w:noWrap/>
            <w:vAlign w:val="bottom"/>
            <w:hideMark/>
          </w:tcPr>
          <w:p w14:paraId="236B276B" w14:textId="77777777" w:rsidR="007E3513" w:rsidRPr="00BF1534" w:rsidRDefault="007E3513" w:rsidP="00686421">
            <w:pPr>
              <w:spacing w:after="0"/>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KAM2</w:t>
            </w:r>
          </w:p>
        </w:tc>
        <w:tc>
          <w:tcPr>
            <w:tcW w:w="981" w:type="dxa"/>
            <w:noWrap/>
            <w:hideMark/>
          </w:tcPr>
          <w:p w14:paraId="60D3EA7E"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-.099</w:t>
            </w:r>
            <w:r w:rsidRPr="00BF1534">
              <w:rPr>
                <w:rFonts w:ascii="Times New Roman" w:eastAsia="Times New Roman" w:hAnsi="Times New Roman" w:cs="Times New Roman"/>
                <w:color w:val="000000"/>
                <w:vertAlign w:val="superscript"/>
                <w:lang w:val="id-ID"/>
              </w:rPr>
              <w:t>**</w:t>
            </w:r>
          </w:p>
        </w:tc>
        <w:tc>
          <w:tcPr>
            <w:tcW w:w="981" w:type="dxa"/>
            <w:noWrap/>
            <w:hideMark/>
          </w:tcPr>
          <w:p w14:paraId="3CD7DBF5"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.185</w:t>
            </w:r>
            <w:r w:rsidRPr="00BF1534">
              <w:rPr>
                <w:rFonts w:ascii="Times New Roman" w:eastAsia="Times New Roman" w:hAnsi="Times New Roman" w:cs="Times New Roman"/>
                <w:color w:val="000000"/>
                <w:vertAlign w:val="superscript"/>
                <w:lang w:val="id-ID"/>
              </w:rPr>
              <w:t>**</w:t>
            </w:r>
          </w:p>
        </w:tc>
        <w:tc>
          <w:tcPr>
            <w:tcW w:w="981" w:type="dxa"/>
            <w:noWrap/>
            <w:hideMark/>
          </w:tcPr>
          <w:p w14:paraId="401E2D55"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1</w:t>
            </w:r>
          </w:p>
        </w:tc>
        <w:tc>
          <w:tcPr>
            <w:tcW w:w="981" w:type="dxa"/>
            <w:noWrap/>
            <w:hideMark/>
          </w:tcPr>
          <w:p w14:paraId="60BDDBDC" w14:textId="77777777" w:rsidR="007E3513" w:rsidRPr="00BF1534" w:rsidRDefault="007E3513" w:rsidP="00C27AA2">
            <w:pPr>
              <w:spacing w:after="0"/>
              <w:jc w:val="right"/>
              <w:rPr>
                <w:rFonts w:ascii="Times New Roman" w:eastAsia="Times New Roman" w:hAnsi="Times New Roman" w:cs="Times New Roman"/>
                <w:color w:val="000000"/>
                <w:lang w:val="id-ID"/>
              </w:rPr>
            </w:pPr>
          </w:p>
        </w:tc>
        <w:tc>
          <w:tcPr>
            <w:tcW w:w="981" w:type="dxa"/>
            <w:noWrap/>
            <w:hideMark/>
          </w:tcPr>
          <w:p w14:paraId="6EA879C9" w14:textId="77777777" w:rsidR="007E3513" w:rsidRPr="00BF1534" w:rsidRDefault="007E3513" w:rsidP="00C27AA2">
            <w:pPr>
              <w:spacing w:after="0"/>
              <w:jc w:val="right"/>
              <w:rPr>
                <w:rFonts w:ascii="Times New Roman" w:eastAsia="Times New Roman" w:hAnsi="Times New Roman" w:cs="Times New Roman"/>
                <w:lang w:val="id-ID"/>
              </w:rPr>
            </w:pPr>
          </w:p>
        </w:tc>
        <w:tc>
          <w:tcPr>
            <w:tcW w:w="981" w:type="dxa"/>
            <w:noWrap/>
            <w:hideMark/>
          </w:tcPr>
          <w:p w14:paraId="5054FF51" w14:textId="77777777" w:rsidR="007E3513" w:rsidRPr="00BF1534" w:rsidRDefault="007E3513" w:rsidP="00C27AA2">
            <w:pPr>
              <w:spacing w:after="0"/>
              <w:jc w:val="right"/>
              <w:rPr>
                <w:rFonts w:ascii="Times New Roman" w:eastAsia="Times New Roman" w:hAnsi="Times New Roman" w:cs="Times New Roman"/>
                <w:lang w:val="id-ID"/>
              </w:rPr>
            </w:pPr>
          </w:p>
        </w:tc>
        <w:tc>
          <w:tcPr>
            <w:tcW w:w="981" w:type="dxa"/>
            <w:noWrap/>
            <w:hideMark/>
          </w:tcPr>
          <w:p w14:paraId="67D3A475" w14:textId="77777777" w:rsidR="007E3513" w:rsidRPr="00BF1534" w:rsidRDefault="007E3513" w:rsidP="00C27AA2">
            <w:pPr>
              <w:spacing w:after="0"/>
              <w:jc w:val="right"/>
              <w:rPr>
                <w:rFonts w:ascii="Times New Roman" w:eastAsia="Times New Roman" w:hAnsi="Times New Roman" w:cs="Times New Roman"/>
                <w:lang w:val="id-ID"/>
              </w:rPr>
            </w:pPr>
          </w:p>
        </w:tc>
        <w:tc>
          <w:tcPr>
            <w:tcW w:w="797" w:type="dxa"/>
            <w:noWrap/>
          </w:tcPr>
          <w:p w14:paraId="3D591B22"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1.087</w:t>
            </w:r>
          </w:p>
        </w:tc>
      </w:tr>
      <w:tr w:rsidR="007E3513" w:rsidRPr="00935C7F" w14:paraId="26C56FC2" w14:textId="77777777" w:rsidTr="00C27AA2">
        <w:trPr>
          <w:trHeight w:val="304"/>
          <w:jc w:val="center"/>
        </w:trPr>
        <w:tc>
          <w:tcPr>
            <w:tcW w:w="981" w:type="dxa"/>
            <w:noWrap/>
            <w:vAlign w:val="bottom"/>
            <w:hideMark/>
          </w:tcPr>
          <w:p w14:paraId="33420849" w14:textId="77777777" w:rsidR="007E3513" w:rsidRPr="00BF1534" w:rsidRDefault="007E3513" w:rsidP="00686421">
            <w:pPr>
              <w:spacing w:after="0"/>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KAM3</w:t>
            </w:r>
          </w:p>
        </w:tc>
        <w:tc>
          <w:tcPr>
            <w:tcW w:w="981" w:type="dxa"/>
            <w:noWrap/>
            <w:hideMark/>
          </w:tcPr>
          <w:p w14:paraId="07449EE2" w14:textId="31B4A5A8"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-.02</w:t>
            </w:r>
          </w:p>
        </w:tc>
        <w:tc>
          <w:tcPr>
            <w:tcW w:w="981" w:type="dxa"/>
            <w:noWrap/>
            <w:hideMark/>
          </w:tcPr>
          <w:p w14:paraId="6E8FE6B7"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.171</w:t>
            </w:r>
            <w:r w:rsidRPr="00BF1534">
              <w:rPr>
                <w:rFonts w:ascii="Times New Roman" w:eastAsia="Times New Roman" w:hAnsi="Times New Roman" w:cs="Times New Roman"/>
                <w:color w:val="000000"/>
                <w:vertAlign w:val="superscript"/>
                <w:lang w:val="id-ID"/>
              </w:rPr>
              <w:t>**</w:t>
            </w:r>
          </w:p>
        </w:tc>
        <w:tc>
          <w:tcPr>
            <w:tcW w:w="981" w:type="dxa"/>
            <w:noWrap/>
            <w:hideMark/>
          </w:tcPr>
          <w:p w14:paraId="2192F78A"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.212</w:t>
            </w:r>
            <w:r w:rsidRPr="00BF1534">
              <w:rPr>
                <w:rFonts w:ascii="Times New Roman" w:eastAsia="Times New Roman" w:hAnsi="Times New Roman" w:cs="Times New Roman"/>
                <w:color w:val="000000"/>
                <w:vertAlign w:val="superscript"/>
                <w:lang w:val="id-ID"/>
              </w:rPr>
              <w:t>**</w:t>
            </w:r>
          </w:p>
        </w:tc>
        <w:tc>
          <w:tcPr>
            <w:tcW w:w="981" w:type="dxa"/>
            <w:noWrap/>
            <w:hideMark/>
          </w:tcPr>
          <w:p w14:paraId="1E2F22C1"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1</w:t>
            </w:r>
          </w:p>
        </w:tc>
        <w:tc>
          <w:tcPr>
            <w:tcW w:w="981" w:type="dxa"/>
            <w:noWrap/>
            <w:hideMark/>
          </w:tcPr>
          <w:p w14:paraId="115513BE" w14:textId="77777777" w:rsidR="007E3513" w:rsidRPr="00BF1534" w:rsidRDefault="007E3513" w:rsidP="00C27AA2">
            <w:pPr>
              <w:spacing w:after="0"/>
              <w:jc w:val="right"/>
              <w:rPr>
                <w:rFonts w:ascii="Times New Roman" w:eastAsia="Times New Roman" w:hAnsi="Times New Roman" w:cs="Times New Roman"/>
                <w:color w:val="000000"/>
                <w:lang w:val="id-ID"/>
              </w:rPr>
            </w:pPr>
          </w:p>
        </w:tc>
        <w:tc>
          <w:tcPr>
            <w:tcW w:w="981" w:type="dxa"/>
            <w:noWrap/>
            <w:hideMark/>
          </w:tcPr>
          <w:p w14:paraId="07E31A65" w14:textId="77777777" w:rsidR="007E3513" w:rsidRPr="00BF1534" w:rsidRDefault="007E3513" w:rsidP="00C27AA2">
            <w:pPr>
              <w:spacing w:after="0"/>
              <w:jc w:val="right"/>
              <w:rPr>
                <w:rFonts w:ascii="Times New Roman" w:eastAsia="Times New Roman" w:hAnsi="Times New Roman" w:cs="Times New Roman"/>
                <w:lang w:val="id-ID"/>
              </w:rPr>
            </w:pPr>
          </w:p>
        </w:tc>
        <w:tc>
          <w:tcPr>
            <w:tcW w:w="981" w:type="dxa"/>
            <w:noWrap/>
            <w:hideMark/>
          </w:tcPr>
          <w:p w14:paraId="2E785B46" w14:textId="77777777" w:rsidR="007E3513" w:rsidRPr="00BF1534" w:rsidRDefault="007E3513" w:rsidP="00C27AA2">
            <w:pPr>
              <w:spacing w:after="0"/>
              <w:jc w:val="right"/>
              <w:rPr>
                <w:rFonts w:ascii="Times New Roman" w:eastAsia="Times New Roman" w:hAnsi="Times New Roman" w:cs="Times New Roman"/>
                <w:lang w:val="id-ID"/>
              </w:rPr>
            </w:pPr>
          </w:p>
        </w:tc>
        <w:tc>
          <w:tcPr>
            <w:tcW w:w="797" w:type="dxa"/>
            <w:noWrap/>
          </w:tcPr>
          <w:p w14:paraId="5A526A50"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1.081</w:t>
            </w:r>
          </w:p>
        </w:tc>
      </w:tr>
      <w:tr w:rsidR="007E3513" w:rsidRPr="00935C7F" w14:paraId="4B6C6B4D" w14:textId="77777777" w:rsidTr="00C27AA2">
        <w:trPr>
          <w:trHeight w:val="304"/>
          <w:jc w:val="center"/>
        </w:trPr>
        <w:tc>
          <w:tcPr>
            <w:tcW w:w="981" w:type="dxa"/>
            <w:noWrap/>
            <w:vAlign w:val="bottom"/>
            <w:hideMark/>
          </w:tcPr>
          <w:p w14:paraId="7F5D2024" w14:textId="77777777" w:rsidR="007E3513" w:rsidRPr="00BF1534" w:rsidRDefault="007E3513" w:rsidP="00686421">
            <w:pPr>
              <w:spacing w:after="0"/>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AUOP</w:t>
            </w:r>
          </w:p>
        </w:tc>
        <w:tc>
          <w:tcPr>
            <w:tcW w:w="981" w:type="dxa"/>
            <w:noWrap/>
            <w:hideMark/>
          </w:tcPr>
          <w:p w14:paraId="32A70DE6" w14:textId="6CB332E6"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-.042</w:t>
            </w:r>
          </w:p>
        </w:tc>
        <w:tc>
          <w:tcPr>
            <w:tcW w:w="981" w:type="dxa"/>
            <w:noWrap/>
            <w:hideMark/>
          </w:tcPr>
          <w:p w14:paraId="4DCCFE1B"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-.055</w:t>
            </w:r>
            <w:r w:rsidRPr="00BF1534">
              <w:rPr>
                <w:rFonts w:ascii="Times New Roman" w:eastAsia="Times New Roman" w:hAnsi="Times New Roman" w:cs="Times New Roman"/>
                <w:color w:val="000000"/>
                <w:vertAlign w:val="superscript"/>
                <w:lang w:val="id-ID"/>
              </w:rPr>
              <w:t>*</w:t>
            </w:r>
          </w:p>
        </w:tc>
        <w:tc>
          <w:tcPr>
            <w:tcW w:w="981" w:type="dxa"/>
            <w:noWrap/>
            <w:hideMark/>
          </w:tcPr>
          <w:p w14:paraId="4C3D2B93" w14:textId="542F700A"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.05</w:t>
            </w:r>
          </w:p>
        </w:tc>
        <w:tc>
          <w:tcPr>
            <w:tcW w:w="981" w:type="dxa"/>
            <w:noWrap/>
            <w:hideMark/>
          </w:tcPr>
          <w:p w14:paraId="61BD711B" w14:textId="16804FEA"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.024</w:t>
            </w:r>
          </w:p>
        </w:tc>
        <w:tc>
          <w:tcPr>
            <w:tcW w:w="981" w:type="dxa"/>
            <w:noWrap/>
            <w:hideMark/>
          </w:tcPr>
          <w:p w14:paraId="3BA8F652"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1</w:t>
            </w:r>
          </w:p>
        </w:tc>
        <w:tc>
          <w:tcPr>
            <w:tcW w:w="981" w:type="dxa"/>
            <w:noWrap/>
            <w:hideMark/>
          </w:tcPr>
          <w:p w14:paraId="5BFE75A3" w14:textId="77777777" w:rsidR="007E3513" w:rsidRPr="00BF1534" w:rsidRDefault="007E3513" w:rsidP="00C27AA2">
            <w:pPr>
              <w:spacing w:after="0"/>
              <w:jc w:val="right"/>
              <w:rPr>
                <w:rFonts w:ascii="Times New Roman" w:eastAsia="Times New Roman" w:hAnsi="Times New Roman" w:cs="Times New Roman"/>
                <w:color w:val="000000"/>
                <w:lang w:val="id-ID"/>
              </w:rPr>
            </w:pPr>
          </w:p>
        </w:tc>
        <w:tc>
          <w:tcPr>
            <w:tcW w:w="981" w:type="dxa"/>
            <w:noWrap/>
            <w:hideMark/>
          </w:tcPr>
          <w:p w14:paraId="4BF3E3DA" w14:textId="77777777" w:rsidR="007E3513" w:rsidRPr="00BF1534" w:rsidRDefault="007E3513" w:rsidP="00C27AA2">
            <w:pPr>
              <w:spacing w:after="0"/>
              <w:jc w:val="right"/>
              <w:rPr>
                <w:rFonts w:ascii="Times New Roman" w:eastAsia="Times New Roman" w:hAnsi="Times New Roman" w:cs="Times New Roman"/>
                <w:lang w:val="id-ID"/>
              </w:rPr>
            </w:pPr>
          </w:p>
        </w:tc>
        <w:tc>
          <w:tcPr>
            <w:tcW w:w="797" w:type="dxa"/>
            <w:noWrap/>
          </w:tcPr>
          <w:p w14:paraId="667902C7"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1.010</w:t>
            </w:r>
          </w:p>
        </w:tc>
      </w:tr>
      <w:tr w:rsidR="007E3513" w:rsidRPr="00935C7F" w14:paraId="2258DC19" w14:textId="77777777" w:rsidTr="00C27AA2">
        <w:trPr>
          <w:trHeight w:val="304"/>
          <w:jc w:val="center"/>
        </w:trPr>
        <w:tc>
          <w:tcPr>
            <w:tcW w:w="981" w:type="dxa"/>
            <w:tcBorders>
              <w:bottom w:val="nil"/>
            </w:tcBorders>
            <w:noWrap/>
            <w:vAlign w:val="bottom"/>
            <w:hideMark/>
          </w:tcPr>
          <w:p w14:paraId="195D4F1A" w14:textId="77777777" w:rsidR="007E3513" w:rsidRPr="00BF1534" w:rsidRDefault="007E3513" w:rsidP="00686421">
            <w:pPr>
              <w:spacing w:after="0"/>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BIG4</w:t>
            </w:r>
          </w:p>
        </w:tc>
        <w:tc>
          <w:tcPr>
            <w:tcW w:w="981" w:type="dxa"/>
            <w:tcBorders>
              <w:bottom w:val="nil"/>
            </w:tcBorders>
            <w:noWrap/>
            <w:hideMark/>
          </w:tcPr>
          <w:p w14:paraId="2BB06207"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-.316</w:t>
            </w:r>
            <w:r w:rsidRPr="00BF1534">
              <w:rPr>
                <w:rFonts w:ascii="Times New Roman" w:eastAsia="Times New Roman" w:hAnsi="Times New Roman" w:cs="Times New Roman"/>
                <w:color w:val="000000"/>
                <w:vertAlign w:val="superscript"/>
                <w:lang w:val="id-ID"/>
              </w:rPr>
              <w:t>**</w:t>
            </w:r>
          </w:p>
        </w:tc>
        <w:tc>
          <w:tcPr>
            <w:tcW w:w="981" w:type="dxa"/>
            <w:tcBorders>
              <w:bottom w:val="nil"/>
            </w:tcBorders>
            <w:noWrap/>
            <w:hideMark/>
          </w:tcPr>
          <w:p w14:paraId="28AD6842" w14:textId="5386929B"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.009</w:t>
            </w:r>
          </w:p>
        </w:tc>
        <w:tc>
          <w:tcPr>
            <w:tcW w:w="981" w:type="dxa"/>
            <w:tcBorders>
              <w:bottom w:val="nil"/>
            </w:tcBorders>
            <w:noWrap/>
            <w:hideMark/>
          </w:tcPr>
          <w:p w14:paraId="1F856AEB"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.100</w:t>
            </w:r>
            <w:r w:rsidRPr="00BF1534">
              <w:rPr>
                <w:rFonts w:ascii="Times New Roman" w:eastAsia="Times New Roman" w:hAnsi="Times New Roman" w:cs="Times New Roman"/>
                <w:color w:val="000000"/>
                <w:vertAlign w:val="superscript"/>
                <w:lang w:val="id-ID"/>
              </w:rPr>
              <w:t>**</w:t>
            </w:r>
          </w:p>
        </w:tc>
        <w:tc>
          <w:tcPr>
            <w:tcW w:w="981" w:type="dxa"/>
            <w:tcBorders>
              <w:bottom w:val="nil"/>
            </w:tcBorders>
            <w:noWrap/>
            <w:hideMark/>
          </w:tcPr>
          <w:p w14:paraId="5C638306"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.085</w:t>
            </w:r>
            <w:r w:rsidRPr="00BF1534">
              <w:rPr>
                <w:rFonts w:ascii="Times New Roman" w:eastAsia="Times New Roman" w:hAnsi="Times New Roman" w:cs="Times New Roman"/>
                <w:color w:val="000000"/>
                <w:vertAlign w:val="superscript"/>
                <w:lang w:val="id-ID"/>
              </w:rPr>
              <w:t>**</w:t>
            </w:r>
          </w:p>
        </w:tc>
        <w:tc>
          <w:tcPr>
            <w:tcW w:w="981" w:type="dxa"/>
            <w:tcBorders>
              <w:bottom w:val="nil"/>
            </w:tcBorders>
            <w:noWrap/>
            <w:hideMark/>
          </w:tcPr>
          <w:p w14:paraId="70A66C39" w14:textId="18222A62"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.04</w:t>
            </w:r>
          </w:p>
        </w:tc>
        <w:tc>
          <w:tcPr>
            <w:tcW w:w="981" w:type="dxa"/>
            <w:tcBorders>
              <w:bottom w:val="nil"/>
            </w:tcBorders>
            <w:noWrap/>
            <w:hideMark/>
          </w:tcPr>
          <w:p w14:paraId="3B92A7E4"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1</w:t>
            </w:r>
          </w:p>
        </w:tc>
        <w:tc>
          <w:tcPr>
            <w:tcW w:w="981" w:type="dxa"/>
            <w:tcBorders>
              <w:bottom w:val="nil"/>
            </w:tcBorders>
            <w:noWrap/>
            <w:hideMark/>
          </w:tcPr>
          <w:p w14:paraId="043F9FF0" w14:textId="77777777" w:rsidR="007E3513" w:rsidRPr="00BF1534" w:rsidRDefault="007E3513" w:rsidP="00C27AA2">
            <w:pPr>
              <w:spacing w:after="0"/>
              <w:jc w:val="right"/>
              <w:rPr>
                <w:rFonts w:ascii="Times New Roman" w:eastAsia="Times New Roman" w:hAnsi="Times New Roman" w:cs="Times New Roman"/>
                <w:color w:val="000000"/>
                <w:lang w:val="id-ID"/>
              </w:rPr>
            </w:pPr>
          </w:p>
        </w:tc>
        <w:tc>
          <w:tcPr>
            <w:tcW w:w="797" w:type="dxa"/>
            <w:tcBorders>
              <w:bottom w:val="nil"/>
            </w:tcBorders>
            <w:noWrap/>
          </w:tcPr>
          <w:p w14:paraId="17E75FF4"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1.016</w:t>
            </w:r>
          </w:p>
        </w:tc>
      </w:tr>
      <w:tr w:rsidR="007E3513" w:rsidRPr="00935C7F" w14:paraId="0631AD7B" w14:textId="77777777" w:rsidTr="00C27AA2">
        <w:trPr>
          <w:trHeight w:val="304"/>
          <w:jc w:val="center"/>
        </w:trPr>
        <w:tc>
          <w:tcPr>
            <w:tcW w:w="981" w:type="dxa"/>
            <w:tcBorders>
              <w:top w:val="nil"/>
              <w:bottom w:val="single" w:sz="4" w:space="0" w:color="auto"/>
            </w:tcBorders>
            <w:noWrap/>
            <w:vAlign w:val="bottom"/>
            <w:hideMark/>
          </w:tcPr>
          <w:p w14:paraId="4600775C" w14:textId="77777777" w:rsidR="007E3513" w:rsidRPr="00BF1534" w:rsidRDefault="007E3513" w:rsidP="00686421">
            <w:pPr>
              <w:spacing w:after="0"/>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TVOL</w:t>
            </w:r>
          </w:p>
        </w:tc>
        <w:tc>
          <w:tcPr>
            <w:tcW w:w="981" w:type="dxa"/>
            <w:tcBorders>
              <w:top w:val="nil"/>
              <w:bottom w:val="single" w:sz="4" w:space="0" w:color="auto"/>
            </w:tcBorders>
            <w:noWrap/>
            <w:hideMark/>
          </w:tcPr>
          <w:p w14:paraId="1AEFDAD1"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.152</w:t>
            </w:r>
            <w:r w:rsidRPr="00BF1534">
              <w:rPr>
                <w:rFonts w:ascii="Times New Roman" w:eastAsia="Times New Roman" w:hAnsi="Times New Roman" w:cs="Times New Roman"/>
                <w:color w:val="000000"/>
                <w:vertAlign w:val="superscript"/>
                <w:lang w:val="id-ID"/>
              </w:rPr>
              <w:t>**</w:t>
            </w:r>
          </w:p>
        </w:tc>
        <w:tc>
          <w:tcPr>
            <w:tcW w:w="981" w:type="dxa"/>
            <w:tcBorders>
              <w:top w:val="nil"/>
              <w:bottom w:val="single" w:sz="4" w:space="0" w:color="auto"/>
            </w:tcBorders>
            <w:noWrap/>
            <w:hideMark/>
          </w:tcPr>
          <w:p w14:paraId="7EAA47F5"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.086</w:t>
            </w:r>
            <w:r w:rsidRPr="00BF1534">
              <w:rPr>
                <w:rFonts w:ascii="Times New Roman" w:eastAsia="Times New Roman" w:hAnsi="Times New Roman" w:cs="Times New Roman"/>
                <w:color w:val="000000"/>
                <w:vertAlign w:val="superscript"/>
                <w:lang w:val="id-ID"/>
              </w:rPr>
              <w:t>**</w:t>
            </w:r>
          </w:p>
        </w:tc>
        <w:tc>
          <w:tcPr>
            <w:tcW w:w="981" w:type="dxa"/>
            <w:tcBorders>
              <w:top w:val="nil"/>
              <w:bottom w:val="single" w:sz="4" w:space="0" w:color="auto"/>
            </w:tcBorders>
            <w:noWrap/>
            <w:hideMark/>
          </w:tcPr>
          <w:p w14:paraId="65977F82" w14:textId="071F3B3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-.019</w:t>
            </w:r>
          </w:p>
        </w:tc>
        <w:tc>
          <w:tcPr>
            <w:tcW w:w="981" w:type="dxa"/>
            <w:tcBorders>
              <w:top w:val="nil"/>
              <w:bottom w:val="single" w:sz="4" w:space="0" w:color="auto"/>
            </w:tcBorders>
            <w:noWrap/>
            <w:hideMark/>
          </w:tcPr>
          <w:p w14:paraId="000381A9"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.094</w:t>
            </w:r>
            <w:r w:rsidRPr="00BF1534">
              <w:rPr>
                <w:rFonts w:ascii="Times New Roman" w:eastAsia="Times New Roman" w:hAnsi="Times New Roman" w:cs="Times New Roman"/>
                <w:color w:val="000000"/>
                <w:vertAlign w:val="superscript"/>
                <w:lang w:val="id-ID"/>
              </w:rPr>
              <w:t>**</w:t>
            </w:r>
          </w:p>
        </w:tc>
        <w:tc>
          <w:tcPr>
            <w:tcW w:w="981" w:type="dxa"/>
            <w:tcBorders>
              <w:top w:val="nil"/>
              <w:bottom w:val="single" w:sz="4" w:space="0" w:color="auto"/>
            </w:tcBorders>
            <w:noWrap/>
            <w:hideMark/>
          </w:tcPr>
          <w:p w14:paraId="2191E54C" w14:textId="7A43DA7F"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-.041</w:t>
            </w:r>
          </w:p>
        </w:tc>
        <w:tc>
          <w:tcPr>
            <w:tcW w:w="981" w:type="dxa"/>
            <w:tcBorders>
              <w:top w:val="nil"/>
              <w:bottom w:val="single" w:sz="4" w:space="0" w:color="auto"/>
            </w:tcBorders>
            <w:noWrap/>
            <w:hideMark/>
          </w:tcPr>
          <w:p w14:paraId="7516513A" w14:textId="71C0A8F9"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.003</w:t>
            </w:r>
          </w:p>
        </w:tc>
        <w:tc>
          <w:tcPr>
            <w:tcW w:w="981" w:type="dxa"/>
            <w:tcBorders>
              <w:top w:val="nil"/>
              <w:bottom w:val="single" w:sz="4" w:space="0" w:color="auto"/>
            </w:tcBorders>
            <w:noWrap/>
            <w:hideMark/>
          </w:tcPr>
          <w:p w14:paraId="743703B5"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1</w:t>
            </w:r>
          </w:p>
        </w:tc>
        <w:tc>
          <w:tcPr>
            <w:tcW w:w="797" w:type="dxa"/>
            <w:tcBorders>
              <w:top w:val="nil"/>
              <w:bottom w:val="single" w:sz="4" w:space="0" w:color="auto"/>
            </w:tcBorders>
            <w:noWrap/>
            <w:hideMark/>
          </w:tcPr>
          <w:p w14:paraId="7D96330E" w14:textId="77777777" w:rsidR="007E3513" w:rsidRPr="00BF1534" w:rsidRDefault="007E3513" w:rsidP="00C27AA2">
            <w:pPr>
              <w:spacing w:after="0"/>
              <w:jc w:val="right"/>
              <w:rPr>
                <w:rFonts w:ascii="Times New Roman" w:eastAsia="Times New Roman" w:hAnsi="Times New Roman" w:cs="Times New Roman"/>
                <w:color w:val="000000"/>
                <w:lang w:val="id-ID"/>
              </w:rPr>
            </w:pPr>
            <w:r w:rsidRPr="00BF1534">
              <w:rPr>
                <w:rFonts w:ascii="Times New Roman" w:eastAsia="Times New Roman" w:hAnsi="Times New Roman" w:cs="Times New Roman"/>
                <w:color w:val="000000"/>
                <w:lang w:val="id-ID"/>
              </w:rPr>
              <w:t>1.018</w:t>
            </w:r>
          </w:p>
        </w:tc>
      </w:tr>
      <w:tr w:rsidR="007E3513" w:rsidRPr="00935C7F" w14:paraId="2FC3B59B" w14:textId="77777777" w:rsidTr="00A50C95">
        <w:trPr>
          <w:trHeight w:val="304"/>
          <w:jc w:val="center"/>
        </w:trPr>
        <w:tc>
          <w:tcPr>
            <w:tcW w:w="8644" w:type="dxa"/>
            <w:gridSpan w:val="9"/>
            <w:tcBorders>
              <w:top w:val="single" w:sz="4" w:space="0" w:color="auto"/>
            </w:tcBorders>
            <w:noWrap/>
            <w:vAlign w:val="bottom"/>
          </w:tcPr>
          <w:p w14:paraId="3AD8F1DE" w14:textId="496EB381" w:rsidR="007E3513" w:rsidRPr="00BF1534" w:rsidRDefault="007E3513" w:rsidP="00BF1534">
            <w:pPr>
              <w:spacing w:after="0"/>
              <w:rPr>
                <w:rFonts w:ascii="Times New Roman" w:eastAsia="Times New Roman" w:hAnsi="Times New Roman" w:cs="Times New Roman"/>
                <w:iCs/>
                <w:color w:val="000000"/>
                <w:lang w:val="id-ID"/>
              </w:rPr>
            </w:pPr>
            <w:r w:rsidRPr="00A50C95">
              <w:rPr>
                <w:rFonts w:ascii="Times New Roman" w:eastAsia="Times New Roman" w:hAnsi="Times New Roman" w:cs="Times New Roman"/>
                <w:bCs/>
                <w:iCs/>
              </w:rPr>
              <w:t>Notes</w:t>
            </w:r>
            <w:r w:rsidRPr="00A50C95">
              <w:rPr>
                <w:rFonts w:ascii="Times New Roman" w:eastAsia="Times New Roman" w:hAnsi="Times New Roman" w:cs="Times New Roman"/>
                <w:iCs/>
              </w:rPr>
              <w:t xml:space="preserve">: </w:t>
            </w:r>
            <w:r w:rsidRPr="00A50C95">
              <w:rPr>
                <w:rFonts w:ascii="Times New Roman" w:eastAsia="Times New Roman" w:hAnsi="Times New Roman" w:cs="Times New Roman"/>
                <w:iCs/>
                <w:vertAlign w:val="superscript"/>
              </w:rPr>
              <w:t>*</w:t>
            </w:r>
            <w:r w:rsidRPr="00A50C95">
              <w:rPr>
                <w:rFonts w:ascii="Times New Roman" w:eastAsia="Times New Roman" w:hAnsi="Times New Roman" w:cs="Times New Roman"/>
                <w:iCs/>
              </w:rPr>
              <w:t>Correlation</w:t>
            </w:r>
            <w:r w:rsidRPr="00BF1534">
              <w:rPr>
                <w:rFonts w:ascii="Times New Roman" w:eastAsia="Times New Roman" w:hAnsi="Times New Roman" w:cs="Times New Roman"/>
                <w:iCs/>
              </w:rPr>
              <w:t xml:space="preserve"> is significant at the 0.10 level</w:t>
            </w:r>
            <w:r w:rsidR="00824487" w:rsidRPr="00BF1534">
              <w:rPr>
                <w:rFonts w:ascii="Times New Roman" w:eastAsia="Times New Roman" w:hAnsi="Times New Roman" w:cs="Times New Roman"/>
                <w:iCs/>
              </w:rPr>
              <w:t>;</w:t>
            </w:r>
            <w:r w:rsidRPr="00BF1534">
              <w:rPr>
                <w:rFonts w:ascii="Times New Roman" w:eastAsia="Times New Roman" w:hAnsi="Times New Roman" w:cs="Times New Roman"/>
                <w:iCs/>
              </w:rPr>
              <w:t xml:space="preserve"> </w:t>
            </w:r>
            <w:r w:rsidRPr="00BF1534">
              <w:rPr>
                <w:rFonts w:ascii="Times New Roman" w:eastAsia="Times New Roman" w:hAnsi="Times New Roman" w:cs="Times New Roman"/>
                <w:iCs/>
                <w:vertAlign w:val="superscript"/>
              </w:rPr>
              <w:t>**</w:t>
            </w:r>
            <w:r w:rsidRPr="00BF1534">
              <w:rPr>
                <w:rFonts w:ascii="Times New Roman" w:eastAsia="Times New Roman" w:hAnsi="Times New Roman" w:cs="Times New Roman"/>
                <w:iCs/>
              </w:rPr>
              <w:t>Correlation is significant at the 0.05</w:t>
            </w:r>
            <w:r w:rsidR="00BF1534">
              <w:rPr>
                <w:rFonts w:ascii="Times New Roman" w:eastAsia="Times New Roman" w:hAnsi="Times New Roman" w:cs="Times New Roman"/>
                <w:iCs/>
                <w:lang w:val="id-ID"/>
              </w:rPr>
              <w:t xml:space="preserve"> </w:t>
            </w:r>
            <w:r w:rsidRPr="00BF1534">
              <w:rPr>
                <w:rFonts w:ascii="Times New Roman" w:eastAsia="Times New Roman" w:hAnsi="Times New Roman" w:cs="Times New Roman"/>
                <w:iCs/>
              </w:rPr>
              <w:t>level</w:t>
            </w:r>
            <w:r w:rsidR="00824487" w:rsidRPr="00BF1534">
              <w:rPr>
                <w:rFonts w:ascii="Times New Roman" w:eastAsia="Times New Roman" w:hAnsi="Times New Roman" w:cs="Times New Roman"/>
                <w:iCs/>
              </w:rPr>
              <w:t xml:space="preserve">; </w:t>
            </w:r>
            <w:r w:rsidRPr="00BF1534">
              <w:rPr>
                <w:rFonts w:ascii="Times New Roman" w:eastAsia="Times New Roman" w:hAnsi="Times New Roman" w:cs="Times New Roman"/>
                <w:iCs/>
                <w:vertAlign w:val="superscript"/>
              </w:rPr>
              <w:t>***</w:t>
            </w:r>
            <w:r w:rsidRPr="00BF1534">
              <w:rPr>
                <w:rFonts w:ascii="Times New Roman" w:eastAsia="Times New Roman" w:hAnsi="Times New Roman" w:cs="Times New Roman"/>
                <w:iCs/>
              </w:rPr>
              <w:t>Correlation is significant at the 0.01 level.</w:t>
            </w:r>
          </w:p>
        </w:tc>
      </w:tr>
    </w:tbl>
    <w:p w14:paraId="4169E961" w14:textId="77777777" w:rsidR="007E3513" w:rsidRPr="00935C7F" w:rsidRDefault="007E3513" w:rsidP="00686421">
      <w:pPr>
        <w:spacing w:after="0"/>
        <w:jc w:val="both"/>
        <w:rPr>
          <w:rFonts w:ascii="Times New Roman" w:eastAsia="Times New Roman" w:hAnsi="Times New Roman" w:cs="Times New Roman"/>
          <w:color w:val="000000"/>
          <w:sz w:val="24"/>
          <w:szCs w:val="24"/>
          <w:lang w:val="id-ID"/>
        </w:rPr>
      </w:pPr>
    </w:p>
    <w:p w14:paraId="11C9535D" w14:textId="2D556873" w:rsidR="005937A6" w:rsidRPr="00935C7F" w:rsidRDefault="005937A6" w:rsidP="00686421">
      <w:pPr>
        <w:spacing w:after="0"/>
        <w:ind w:firstLine="426"/>
        <w:jc w:val="both"/>
        <w:rPr>
          <w:rFonts w:ascii="Times New Roman" w:eastAsia="Times New Roman" w:hAnsi="Times New Roman" w:cs="Times New Roman"/>
          <w:sz w:val="24"/>
          <w:szCs w:val="24"/>
          <w:lang w:val="id-ID"/>
        </w:rPr>
      </w:pPr>
      <w:r w:rsidRPr="00935C7F">
        <w:rPr>
          <w:rFonts w:ascii="Times New Roman" w:eastAsia="Times New Roman" w:hAnsi="Times New Roman" w:cs="Times New Roman"/>
          <w:sz w:val="24"/>
          <w:szCs w:val="24"/>
        </w:rPr>
        <w:t>The correlation analysis shows that the control variables, AUOP (Audit Opinion), BIG4 (Audit Firm), and TVOL (Volume of Trading), exhibit varying relationships with the primary variables. AUOP has a weak negative correlation with both KAM1 and KAM2, indicating that clean audit opinions are not strongly associated with the level of KAM disclosures. BIG4 shows a significant negative correlation with RISK, suggesting that companies audited by Big 4 firms tend to have lower perceived investment risk. Meanwhile, TVOL shows a moderate positive correlation with RISK, implying that higher trading volumes are associated with increased market uncertainty or risk.</w:t>
      </w:r>
      <w:r w:rsidR="00BA111D">
        <w:rPr>
          <w:rFonts w:ascii="Times New Roman" w:eastAsia="Times New Roman" w:hAnsi="Times New Roman" w:cs="Times New Roman"/>
          <w:sz w:val="24"/>
          <w:szCs w:val="24"/>
        </w:rPr>
        <w:t xml:space="preserve"> </w:t>
      </w:r>
      <w:r w:rsidRPr="00935C7F">
        <w:rPr>
          <w:rFonts w:ascii="Times New Roman" w:eastAsia="Times New Roman" w:hAnsi="Times New Roman" w:cs="Times New Roman"/>
          <w:sz w:val="24"/>
          <w:szCs w:val="24"/>
          <w:lang w:val="id-ID"/>
        </w:rPr>
        <w:t>The Variance Inflation Factor (VIF) values, all of which are below the threshold of 10, suggest that multicollinearity is not a concern in the model, ensuring that the results from further regression analyses are robust and reliable.</w:t>
      </w:r>
    </w:p>
    <w:p w14:paraId="323C7EE0" w14:textId="048F1425" w:rsidR="005937A6" w:rsidRPr="00935C7F" w:rsidRDefault="005937A6" w:rsidP="00686421">
      <w:pPr>
        <w:spacing w:after="0"/>
        <w:ind w:firstLine="426"/>
        <w:jc w:val="both"/>
        <w:rPr>
          <w:rFonts w:ascii="Times New Roman" w:eastAsia="Times New Roman" w:hAnsi="Times New Roman" w:cs="Times New Roman"/>
          <w:sz w:val="24"/>
          <w:szCs w:val="24"/>
          <w:lang w:val="id-ID"/>
        </w:rPr>
      </w:pPr>
      <w:r w:rsidRPr="00935C7F">
        <w:rPr>
          <w:rFonts w:ascii="Times New Roman" w:eastAsia="Times New Roman" w:hAnsi="Times New Roman" w:cs="Times New Roman"/>
          <w:sz w:val="24"/>
          <w:szCs w:val="24"/>
          <w:lang w:val="id-ID"/>
        </w:rPr>
        <w:t>In summary, these correlation results highlight important associations between the variables, particularly the relationships between KAM disclosures, audit opinions, and investment risk. These findings suggest that KAM disclosures and the quality of audit opinions can serve as useful tools in reducing investment risk and enhancing transparency in financial reporting. However, the weak correlation between KAM disclosures and RISK suggests that other factors not captured by this analysis may also play significant roles in influencing investment risk.</w:t>
      </w:r>
    </w:p>
    <w:p w14:paraId="01FB4134" w14:textId="5766F781" w:rsidR="001C4A35" w:rsidRPr="00935C7F" w:rsidRDefault="001C4A35" w:rsidP="00686421">
      <w:pPr>
        <w:spacing w:after="0"/>
        <w:ind w:firstLine="426"/>
        <w:jc w:val="both"/>
        <w:rPr>
          <w:rFonts w:ascii="Times New Roman" w:eastAsia="Times New Roman" w:hAnsi="Times New Roman" w:cs="Times New Roman"/>
          <w:sz w:val="24"/>
          <w:szCs w:val="24"/>
        </w:rPr>
      </w:pPr>
      <w:r w:rsidRPr="00935C7F">
        <w:rPr>
          <w:rFonts w:ascii="Times New Roman" w:eastAsia="Times New Roman" w:hAnsi="Times New Roman" w:cs="Times New Roman"/>
          <w:sz w:val="24"/>
          <w:szCs w:val="24"/>
        </w:rPr>
        <w:t>To test the hypotheses, we use multiple linear regression to analyze the association among variables. The multiple linear regression analysis underwent rigorous diagnostic testing to validate adherence to classical assumptions. The model satisfied all critical requirements: (1) heteroskedasticity was assessed using the glejser test, confirming constant error variance; (2) normality of residuals was verified via Kolmogorov-Smirnov and Q-Q plot analysis; (3) autocorrelation was ruled out through Durbin-Watson testing</w:t>
      </w:r>
      <w:r w:rsidR="001F1B71">
        <w:rPr>
          <w:rFonts w:ascii="Times New Roman" w:eastAsia="Times New Roman" w:hAnsi="Times New Roman" w:cs="Times New Roman"/>
          <w:sz w:val="24"/>
          <w:szCs w:val="24"/>
        </w:rPr>
        <w:t>,</w:t>
      </w:r>
      <w:r w:rsidRPr="00935C7F">
        <w:rPr>
          <w:rFonts w:ascii="Times New Roman" w:eastAsia="Times New Roman" w:hAnsi="Times New Roman" w:cs="Times New Roman"/>
          <w:sz w:val="24"/>
          <w:szCs w:val="24"/>
        </w:rPr>
        <w:t xml:space="preserve"> and (4) multicollinearity checks revealed variance inflation factors (VIFs) consistently below the threshold of 10. With all assumptions met, the baseline regression model is statistically robust and fit for inference.</w:t>
      </w:r>
    </w:p>
    <w:p w14:paraId="7B2ADEB8" w14:textId="2D1B4AD1" w:rsidR="005937A6" w:rsidRPr="00935C7F" w:rsidRDefault="005937A6" w:rsidP="00686421">
      <w:pPr>
        <w:spacing w:after="0"/>
        <w:ind w:firstLine="426"/>
        <w:jc w:val="both"/>
        <w:rPr>
          <w:rFonts w:ascii="Times New Roman" w:eastAsia="Times New Roman" w:hAnsi="Times New Roman" w:cs="Times New Roman"/>
          <w:sz w:val="24"/>
          <w:szCs w:val="24"/>
          <w:lang w:val="id-ID"/>
        </w:rPr>
      </w:pPr>
      <w:r w:rsidRPr="00935C7F">
        <w:rPr>
          <w:rFonts w:ascii="Times New Roman" w:eastAsia="Times New Roman" w:hAnsi="Times New Roman" w:cs="Times New Roman"/>
          <w:sz w:val="24"/>
          <w:szCs w:val="24"/>
        </w:rPr>
        <w:t xml:space="preserve">The regression results presented in Table 5 indicate the relationships between the independent variables (KAM1, KAM2, KAM3) and the dependent variable (RISK), along </w:t>
      </w:r>
      <w:r w:rsidRPr="00935C7F">
        <w:rPr>
          <w:rFonts w:ascii="Times New Roman" w:eastAsia="Times New Roman" w:hAnsi="Times New Roman" w:cs="Times New Roman"/>
          <w:sz w:val="24"/>
          <w:szCs w:val="24"/>
        </w:rPr>
        <w:lastRenderedPageBreak/>
        <w:t>with the control variables (AUOP, BIG4, TVOL). The Adjusted R-</w:t>
      </w:r>
      <w:r w:rsidR="001F1B71">
        <w:rPr>
          <w:rFonts w:ascii="Times New Roman" w:eastAsia="Times New Roman" w:hAnsi="Times New Roman" w:cs="Times New Roman"/>
          <w:sz w:val="24"/>
          <w:szCs w:val="24"/>
        </w:rPr>
        <w:t>s</w:t>
      </w:r>
      <w:r w:rsidRPr="00935C7F">
        <w:rPr>
          <w:rFonts w:ascii="Times New Roman" w:eastAsia="Times New Roman" w:hAnsi="Times New Roman" w:cs="Times New Roman"/>
          <w:sz w:val="24"/>
          <w:szCs w:val="24"/>
        </w:rPr>
        <w:t>quared value of 0.125 suggests that the model explains only about 12.5% of the variation in investment risk, implying that other factors not included in the model may contribute to the variability in RISK.</w:t>
      </w:r>
    </w:p>
    <w:p w14:paraId="2F376F3D" w14:textId="3EF83F39" w:rsidR="00EC1F8D" w:rsidRDefault="005937A6" w:rsidP="00EC1F8D">
      <w:pPr>
        <w:spacing w:after="0"/>
        <w:ind w:firstLine="426"/>
        <w:jc w:val="both"/>
        <w:rPr>
          <w:rFonts w:ascii="Times New Roman" w:eastAsia="Times New Roman" w:hAnsi="Times New Roman" w:cs="Times New Roman"/>
          <w:sz w:val="24"/>
          <w:szCs w:val="24"/>
          <w:lang w:val="id-ID"/>
        </w:rPr>
      </w:pPr>
      <w:r w:rsidRPr="00935C7F">
        <w:rPr>
          <w:rFonts w:ascii="Times New Roman" w:eastAsia="Times New Roman" w:hAnsi="Times New Roman" w:cs="Times New Roman"/>
          <w:sz w:val="24"/>
          <w:szCs w:val="24"/>
          <w:lang w:val="id-ID"/>
        </w:rPr>
        <w:t xml:space="preserve">KAM1, which represents the number of KAM disclosures, does not have a statistically significant relationship with RISK (t = -0.816, p = 0.415). This suggests that the mere disclosure of </w:t>
      </w:r>
      <w:r w:rsidR="00BE4252" w:rsidRPr="00935C7F">
        <w:rPr>
          <w:rFonts w:ascii="Times New Roman" w:eastAsia="Times New Roman" w:hAnsi="Times New Roman" w:cs="Times New Roman"/>
          <w:sz w:val="24"/>
          <w:szCs w:val="24"/>
          <w:lang w:val="id-ID"/>
        </w:rPr>
        <w:t>KAM</w:t>
      </w:r>
      <w:r w:rsidRPr="00935C7F">
        <w:rPr>
          <w:rFonts w:ascii="Times New Roman" w:eastAsia="Times New Roman" w:hAnsi="Times New Roman" w:cs="Times New Roman"/>
          <w:sz w:val="24"/>
          <w:szCs w:val="24"/>
          <w:lang w:val="id-ID"/>
        </w:rPr>
        <w:t xml:space="preserve"> in the audit report, in terms of their count, does not meaningfully impact the perceived investment risk, implying that investors may not rely heavily on the number of disclosures as an indicator of risk. KAM2, which refers to the number of paragraphs dedicated to </w:t>
      </w:r>
      <w:r w:rsidR="00BE4252" w:rsidRPr="00935C7F">
        <w:rPr>
          <w:rFonts w:ascii="Times New Roman" w:eastAsia="Times New Roman" w:hAnsi="Times New Roman" w:cs="Times New Roman"/>
          <w:sz w:val="24"/>
          <w:szCs w:val="24"/>
          <w:lang w:val="id-ID"/>
        </w:rPr>
        <w:t>KAM</w:t>
      </w:r>
      <w:r w:rsidRPr="00935C7F">
        <w:rPr>
          <w:rFonts w:ascii="Times New Roman" w:eastAsia="Times New Roman" w:hAnsi="Times New Roman" w:cs="Times New Roman"/>
          <w:sz w:val="24"/>
          <w:szCs w:val="24"/>
          <w:lang w:val="id-ID"/>
        </w:rPr>
        <w:t xml:space="preserve"> in the audit report, shows a significant negative relationship with RISK (β = -0.001, t = -2.358, p = 0.019). This finding suggests that a higher number of paragraphs allocated to </w:t>
      </w:r>
      <w:r w:rsidR="00BE4252" w:rsidRPr="00935C7F">
        <w:rPr>
          <w:rFonts w:ascii="Times New Roman" w:eastAsia="Times New Roman" w:hAnsi="Times New Roman" w:cs="Times New Roman"/>
          <w:sz w:val="24"/>
          <w:szCs w:val="24"/>
          <w:lang w:val="id-ID"/>
        </w:rPr>
        <w:t>KAM</w:t>
      </w:r>
      <w:r w:rsidRPr="00935C7F">
        <w:rPr>
          <w:rFonts w:ascii="Times New Roman" w:eastAsia="Times New Roman" w:hAnsi="Times New Roman" w:cs="Times New Roman"/>
          <w:sz w:val="24"/>
          <w:szCs w:val="24"/>
          <w:lang w:val="id-ID"/>
        </w:rPr>
        <w:t xml:space="preserve"> can decrease the perceived investment risk. The detailed explanation of the audit process and the emphasis on specific risks within the company might reduce uncertainty among investors, potentially making the company appear less risky. KAM3, which measures the monetary information disclosed within </w:t>
      </w:r>
      <w:r w:rsidR="00BE4252" w:rsidRPr="00935C7F">
        <w:rPr>
          <w:rFonts w:ascii="Times New Roman" w:eastAsia="Times New Roman" w:hAnsi="Times New Roman" w:cs="Times New Roman"/>
          <w:sz w:val="24"/>
          <w:szCs w:val="24"/>
          <w:lang w:val="id-ID"/>
        </w:rPr>
        <w:t>KAM</w:t>
      </w:r>
      <w:r w:rsidRPr="00935C7F">
        <w:rPr>
          <w:rFonts w:ascii="Times New Roman" w:eastAsia="Times New Roman" w:hAnsi="Times New Roman" w:cs="Times New Roman"/>
          <w:sz w:val="24"/>
          <w:szCs w:val="24"/>
          <w:lang w:val="id-ID"/>
        </w:rPr>
        <w:t xml:space="preserve">, does not have a significant effect on RISK (t = 0.371, p = 0.710). This indicates that the financial details shared in </w:t>
      </w:r>
      <w:r w:rsidR="00BE4252" w:rsidRPr="00935C7F">
        <w:rPr>
          <w:rFonts w:ascii="Times New Roman" w:eastAsia="Times New Roman" w:hAnsi="Times New Roman" w:cs="Times New Roman"/>
          <w:sz w:val="24"/>
          <w:szCs w:val="24"/>
          <w:lang w:val="id-ID"/>
        </w:rPr>
        <w:t>KAM</w:t>
      </w:r>
      <w:r w:rsidRPr="00935C7F">
        <w:rPr>
          <w:rFonts w:ascii="Times New Roman" w:eastAsia="Times New Roman" w:hAnsi="Times New Roman" w:cs="Times New Roman"/>
          <w:sz w:val="24"/>
          <w:szCs w:val="24"/>
          <w:lang w:val="id-ID"/>
        </w:rPr>
        <w:t>, such as the monetary implications of identified risks, do not significantly alter the perceived investment risk, suggesting that investors may not place significant weight on these disclosures when assessing risk.</w:t>
      </w:r>
    </w:p>
    <w:p w14:paraId="549E4479" w14:textId="77777777" w:rsidR="008D480F" w:rsidRPr="00935C7F" w:rsidRDefault="008D480F" w:rsidP="00EC1F8D">
      <w:pPr>
        <w:spacing w:after="0"/>
        <w:ind w:firstLine="426"/>
        <w:jc w:val="both"/>
        <w:rPr>
          <w:rFonts w:ascii="Times New Roman" w:eastAsia="Times New Roman" w:hAnsi="Times New Roman" w:cs="Times New Roman"/>
          <w:sz w:val="24"/>
          <w:szCs w:val="24"/>
          <w:lang w:val="id-ID"/>
        </w:rPr>
      </w:pPr>
    </w:p>
    <w:p w14:paraId="609E244F" w14:textId="6962C4EF" w:rsidR="005937A6" w:rsidRPr="00935C7F" w:rsidRDefault="005937A6" w:rsidP="00686421">
      <w:pPr>
        <w:spacing w:after="0"/>
        <w:ind w:hanging="2"/>
        <w:jc w:val="center"/>
        <w:rPr>
          <w:rFonts w:ascii="Times New Roman" w:eastAsia="Times New Roman" w:hAnsi="Times New Roman" w:cs="Times New Roman"/>
          <w:b/>
          <w:sz w:val="24"/>
          <w:szCs w:val="24"/>
        </w:rPr>
      </w:pPr>
      <w:r w:rsidRPr="00935C7F">
        <w:rPr>
          <w:rFonts w:ascii="Times New Roman" w:eastAsia="Times New Roman" w:hAnsi="Times New Roman" w:cs="Times New Roman"/>
          <w:b/>
          <w:sz w:val="24"/>
          <w:szCs w:val="24"/>
        </w:rPr>
        <w:t>Table 5</w:t>
      </w:r>
      <w:r w:rsidR="001D757C">
        <w:rPr>
          <w:rFonts w:ascii="Times New Roman" w:eastAsia="Times New Roman" w:hAnsi="Times New Roman" w:cs="Times New Roman"/>
          <w:b/>
          <w:sz w:val="24"/>
          <w:szCs w:val="24"/>
          <w:lang w:val="id-ID"/>
        </w:rPr>
        <w:t xml:space="preserve">. </w:t>
      </w:r>
      <w:r w:rsidRPr="00935C7F">
        <w:rPr>
          <w:rFonts w:ascii="Times New Roman" w:eastAsia="Times New Roman" w:hAnsi="Times New Roman" w:cs="Times New Roman"/>
          <w:b/>
          <w:sz w:val="24"/>
          <w:szCs w:val="24"/>
        </w:rPr>
        <w:t>Regression Results</w:t>
      </w:r>
    </w:p>
    <w:tbl>
      <w:tblPr>
        <w:tblW w:w="6936" w:type="dxa"/>
        <w:jc w:val="center"/>
        <w:tblBorders>
          <w:top w:val="single" w:sz="4" w:space="0" w:color="auto"/>
          <w:bottom w:val="single" w:sz="4" w:space="0" w:color="auto"/>
        </w:tblBorders>
        <w:tblLook w:val="04A0" w:firstRow="1" w:lastRow="0" w:firstColumn="1" w:lastColumn="0" w:noHBand="0" w:noVBand="1"/>
      </w:tblPr>
      <w:tblGrid>
        <w:gridCol w:w="2667"/>
        <w:gridCol w:w="1450"/>
        <w:gridCol w:w="1377"/>
        <w:gridCol w:w="1442"/>
      </w:tblGrid>
      <w:tr w:rsidR="005937A6" w:rsidRPr="00935C7F" w14:paraId="3EC30628" w14:textId="77777777" w:rsidTr="00C27AA2">
        <w:trPr>
          <w:trHeight w:val="315"/>
          <w:jc w:val="center"/>
        </w:trPr>
        <w:tc>
          <w:tcPr>
            <w:tcW w:w="2667" w:type="dxa"/>
            <w:vMerge w:val="restart"/>
            <w:tcBorders>
              <w:top w:val="single" w:sz="4" w:space="0" w:color="auto"/>
            </w:tcBorders>
            <w:noWrap/>
            <w:vAlign w:val="center"/>
          </w:tcPr>
          <w:p w14:paraId="2DE3D459" w14:textId="77777777" w:rsidR="005937A6" w:rsidRPr="001D757C" w:rsidRDefault="005937A6" w:rsidP="00C27AA2">
            <w:pPr>
              <w:spacing w:after="0"/>
              <w:ind w:hanging="2"/>
              <w:rPr>
                <w:rFonts w:ascii="Times New Roman" w:eastAsia="Times New Roman" w:hAnsi="Times New Roman" w:cs="Times New Roman"/>
                <w:b/>
              </w:rPr>
            </w:pPr>
            <w:r w:rsidRPr="001D757C">
              <w:rPr>
                <w:rFonts w:ascii="Times New Roman" w:eastAsia="Times New Roman" w:hAnsi="Times New Roman" w:cs="Times New Roman"/>
                <w:b/>
              </w:rPr>
              <w:t>Variables</w:t>
            </w:r>
          </w:p>
        </w:tc>
        <w:tc>
          <w:tcPr>
            <w:tcW w:w="4269" w:type="dxa"/>
            <w:gridSpan w:val="3"/>
            <w:tcBorders>
              <w:top w:val="single" w:sz="4" w:space="0" w:color="auto"/>
              <w:bottom w:val="single" w:sz="4" w:space="0" w:color="auto"/>
            </w:tcBorders>
            <w:noWrap/>
            <w:vAlign w:val="center"/>
          </w:tcPr>
          <w:p w14:paraId="18563885" w14:textId="77777777" w:rsidR="005937A6" w:rsidRPr="001D757C" w:rsidRDefault="005937A6" w:rsidP="00C27AA2">
            <w:pPr>
              <w:spacing w:after="0"/>
              <w:ind w:hanging="2"/>
              <w:jc w:val="center"/>
              <w:rPr>
                <w:rFonts w:ascii="Times New Roman" w:eastAsia="Times New Roman" w:hAnsi="Times New Roman" w:cs="Times New Roman"/>
                <w:b/>
              </w:rPr>
            </w:pPr>
            <w:r w:rsidRPr="001D757C">
              <w:rPr>
                <w:rFonts w:ascii="Times New Roman" w:eastAsia="Times New Roman" w:hAnsi="Times New Roman" w:cs="Times New Roman"/>
                <w:b/>
              </w:rPr>
              <w:t>Coefficients</w:t>
            </w:r>
          </w:p>
        </w:tc>
      </w:tr>
      <w:tr w:rsidR="005937A6" w:rsidRPr="00935C7F" w14:paraId="24344960" w14:textId="77777777" w:rsidTr="00C27AA2">
        <w:trPr>
          <w:trHeight w:val="315"/>
          <w:jc w:val="center"/>
        </w:trPr>
        <w:tc>
          <w:tcPr>
            <w:tcW w:w="2667" w:type="dxa"/>
            <w:vMerge/>
            <w:tcBorders>
              <w:bottom w:val="single" w:sz="4" w:space="0" w:color="auto"/>
            </w:tcBorders>
            <w:noWrap/>
            <w:hideMark/>
          </w:tcPr>
          <w:p w14:paraId="5ACFFD14" w14:textId="77777777" w:rsidR="005937A6" w:rsidRPr="001D757C" w:rsidRDefault="005937A6" w:rsidP="00686421">
            <w:pPr>
              <w:spacing w:after="0"/>
              <w:ind w:hanging="2"/>
              <w:rPr>
                <w:rFonts w:ascii="Times New Roman" w:eastAsia="Times New Roman" w:hAnsi="Times New Roman" w:cs="Times New Roman"/>
                <w:b/>
              </w:rPr>
            </w:pPr>
          </w:p>
        </w:tc>
        <w:tc>
          <w:tcPr>
            <w:tcW w:w="1450" w:type="dxa"/>
            <w:tcBorders>
              <w:top w:val="single" w:sz="4" w:space="0" w:color="auto"/>
              <w:bottom w:val="single" w:sz="4" w:space="0" w:color="auto"/>
            </w:tcBorders>
            <w:noWrap/>
            <w:vAlign w:val="center"/>
            <w:hideMark/>
          </w:tcPr>
          <w:p w14:paraId="782CCC38" w14:textId="77777777" w:rsidR="005937A6" w:rsidRPr="001D757C" w:rsidRDefault="005937A6" w:rsidP="00C27AA2">
            <w:pPr>
              <w:spacing w:after="0"/>
              <w:ind w:hanging="2"/>
              <w:jc w:val="right"/>
              <w:rPr>
                <w:rFonts w:ascii="Times New Roman" w:eastAsia="Times New Roman" w:hAnsi="Times New Roman" w:cs="Times New Roman"/>
                <w:b/>
                <w:bCs/>
              </w:rPr>
            </w:pPr>
            <w:r w:rsidRPr="001D757C">
              <w:rPr>
                <w:rFonts w:ascii="Times New Roman" w:eastAsia="Times New Roman" w:hAnsi="Times New Roman" w:cs="Times New Roman"/>
                <w:b/>
                <w:bCs/>
                <w:lang w:val="id-ID"/>
              </w:rPr>
              <w:t>β</w:t>
            </w:r>
          </w:p>
        </w:tc>
        <w:tc>
          <w:tcPr>
            <w:tcW w:w="1377" w:type="dxa"/>
            <w:tcBorders>
              <w:top w:val="single" w:sz="4" w:space="0" w:color="auto"/>
              <w:bottom w:val="single" w:sz="4" w:space="0" w:color="auto"/>
            </w:tcBorders>
            <w:noWrap/>
            <w:vAlign w:val="center"/>
            <w:hideMark/>
          </w:tcPr>
          <w:p w14:paraId="69A36605" w14:textId="77777777" w:rsidR="005937A6" w:rsidRPr="001D757C" w:rsidRDefault="005937A6" w:rsidP="00C27AA2">
            <w:pPr>
              <w:spacing w:after="0"/>
              <w:ind w:hanging="2"/>
              <w:jc w:val="right"/>
              <w:rPr>
                <w:rFonts w:ascii="Times New Roman" w:eastAsia="Times New Roman" w:hAnsi="Times New Roman" w:cs="Times New Roman"/>
                <w:b/>
              </w:rPr>
            </w:pPr>
            <w:r w:rsidRPr="001D757C">
              <w:rPr>
                <w:rFonts w:ascii="Times New Roman" w:eastAsia="Times New Roman" w:hAnsi="Times New Roman" w:cs="Times New Roman"/>
                <w:b/>
              </w:rPr>
              <w:t>t</w:t>
            </w:r>
          </w:p>
        </w:tc>
        <w:tc>
          <w:tcPr>
            <w:tcW w:w="1442" w:type="dxa"/>
            <w:tcBorders>
              <w:top w:val="single" w:sz="4" w:space="0" w:color="auto"/>
              <w:bottom w:val="single" w:sz="4" w:space="0" w:color="auto"/>
            </w:tcBorders>
            <w:noWrap/>
            <w:vAlign w:val="center"/>
            <w:hideMark/>
          </w:tcPr>
          <w:p w14:paraId="3C8DBA63" w14:textId="77777777" w:rsidR="005937A6" w:rsidRPr="001D757C" w:rsidRDefault="005937A6" w:rsidP="00C27AA2">
            <w:pPr>
              <w:spacing w:after="0"/>
              <w:ind w:hanging="2"/>
              <w:jc w:val="right"/>
              <w:rPr>
                <w:rFonts w:ascii="Times New Roman" w:eastAsia="Times New Roman" w:hAnsi="Times New Roman" w:cs="Times New Roman"/>
                <w:b/>
              </w:rPr>
            </w:pPr>
            <w:r w:rsidRPr="001D757C">
              <w:rPr>
                <w:rFonts w:ascii="Times New Roman" w:eastAsia="Times New Roman" w:hAnsi="Times New Roman" w:cs="Times New Roman"/>
                <w:b/>
              </w:rPr>
              <w:t>p-value</w:t>
            </w:r>
          </w:p>
        </w:tc>
      </w:tr>
      <w:tr w:rsidR="005937A6" w:rsidRPr="00935C7F" w14:paraId="5A6F6E23" w14:textId="77777777" w:rsidTr="00C27AA2">
        <w:trPr>
          <w:trHeight w:val="315"/>
          <w:jc w:val="center"/>
        </w:trPr>
        <w:tc>
          <w:tcPr>
            <w:tcW w:w="2667" w:type="dxa"/>
            <w:tcBorders>
              <w:top w:val="single" w:sz="4" w:space="0" w:color="auto"/>
            </w:tcBorders>
            <w:noWrap/>
            <w:vAlign w:val="bottom"/>
            <w:hideMark/>
          </w:tcPr>
          <w:p w14:paraId="04EFA073" w14:textId="77777777" w:rsidR="005937A6" w:rsidRPr="001D757C" w:rsidRDefault="005937A6" w:rsidP="00686421">
            <w:pPr>
              <w:spacing w:after="0"/>
              <w:ind w:hanging="2"/>
              <w:rPr>
                <w:rFonts w:ascii="Times New Roman" w:eastAsia="Times New Roman" w:hAnsi="Times New Roman" w:cs="Times New Roman"/>
              </w:rPr>
            </w:pPr>
            <w:r w:rsidRPr="001D757C">
              <w:rPr>
                <w:rFonts w:ascii="Times New Roman" w:eastAsia="Times New Roman" w:hAnsi="Times New Roman" w:cs="Times New Roman"/>
              </w:rPr>
              <w:t>Constant</w:t>
            </w:r>
          </w:p>
        </w:tc>
        <w:tc>
          <w:tcPr>
            <w:tcW w:w="1450" w:type="dxa"/>
            <w:tcBorders>
              <w:top w:val="single" w:sz="4" w:space="0" w:color="auto"/>
            </w:tcBorders>
            <w:noWrap/>
          </w:tcPr>
          <w:p w14:paraId="77EB1492"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hAnsi="Times New Roman" w:cs="Times New Roman"/>
              </w:rPr>
              <w:t>0.029</w:t>
            </w:r>
            <w:r w:rsidRPr="001D757C">
              <w:rPr>
                <w:rFonts w:ascii="Times New Roman" w:hAnsi="Times New Roman" w:cs="Times New Roman"/>
                <w:vertAlign w:val="superscript"/>
              </w:rPr>
              <w:t>***</w:t>
            </w:r>
          </w:p>
        </w:tc>
        <w:tc>
          <w:tcPr>
            <w:tcW w:w="1377" w:type="dxa"/>
            <w:tcBorders>
              <w:top w:val="single" w:sz="4" w:space="0" w:color="auto"/>
            </w:tcBorders>
            <w:noWrap/>
          </w:tcPr>
          <w:p w14:paraId="1081191B"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hAnsi="Times New Roman" w:cs="Times New Roman"/>
              </w:rPr>
              <w:t>5.963</w:t>
            </w:r>
          </w:p>
        </w:tc>
        <w:tc>
          <w:tcPr>
            <w:tcW w:w="1442" w:type="dxa"/>
            <w:tcBorders>
              <w:top w:val="single" w:sz="4" w:space="0" w:color="auto"/>
            </w:tcBorders>
            <w:noWrap/>
          </w:tcPr>
          <w:p w14:paraId="43ACE239"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hAnsi="Times New Roman" w:cs="Times New Roman"/>
              </w:rPr>
              <w:t>0.000</w:t>
            </w:r>
          </w:p>
        </w:tc>
      </w:tr>
      <w:tr w:rsidR="005937A6" w:rsidRPr="00935C7F" w14:paraId="73BF63C1" w14:textId="77777777" w:rsidTr="00C27AA2">
        <w:trPr>
          <w:trHeight w:val="315"/>
          <w:jc w:val="center"/>
        </w:trPr>
        <w:tc>
          <w:tcPr>
            <w:tcW w:w="2667" w:type="dxa"/>
            <w:vAlign w:val="bottom"/>
            <w:hideMark/>
          </w:tcPr>
          <w:p w14:paraId="7FE10EDA" w14:textId="77777777" w:rsidR="005937A6" w:rsidRPr="001D757C" w:rsidRDefault="005937A6" w:rsidP="00686421">
            <w:pPr>
              <w:spacing w:after="0"/>
              <w:ind w:hanging="2"/>
              <w:rPr>
                <w:rFonts w:ascii="Times New Roman" w:eastAsia="Times New Roman" w:hAnsi="Times New Roman" w:cs="Times New Roman"/>
              </w:rPr>
            </w:pPr>
            <w:r w:rsidRPr="001D757C">
              <w:rPr>
                <w:rFonts w:ascii="Times New Roman" w:hAnsi="Times New Roman" w:cs="Times New Roman"/>
              </w:rPr>
              <w:t>KAM1</w:t>
            </w:r>
          </w:p>
        </w:tc>
        <w:tc>
          <w:tcPr>
            <w:tcW w:w="1450" w:type="dxa"/>
            <w:noWrap/>
          </w:tcPr>
          <w:p w14:paraId="7803AEBD"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hAnsi="Times New Roman" w:cs="Times New Roman"/>
              </w:rPr>
              <w:t>0.000</w:t>
            </w:r>
          </w:p>
        </w:tc>
        <w:tc>
          <w:tcPr>
            <w:tcW w:w="1377" w:type="dxa"/>
            <w:noWrap/>
          </w:tcPr>
          <w:p w14:paraId="40537814"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hAnsi="Times New Roman" w:cs="Times New Roman"/>
              </w:rPr>
              <w:t>-0.816</w:t>
            </w:r>
          </w:p>
        </w:tc>
        <w:tc>
          <w:tcPr>
            <w:tcW w:w="1442" w:type="dxa"/>
            <w:noWrap/>
          </w:tcPr>
          <w:p w14:paraId="5D327500"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hAnsi="Times New Roman" w:cs="Times New Roman"/>
              </w:rPr>
              <w:t>0.415</w:t>
            </w:r>
          </w:p>
        </w:tc>
      </w:tr>
      <w:tr w:rsidR="005937A6" w:rsidRPr="00935C7F" w14:paraId="0C305C1F" w14:textId="77777777" w:rsidTr="00C27AA2">
        <w:trPr>
          <w:trHeight w:val="315"/>
          <w:jc w:val="center"/>
        </w:trPr>
        <w:tc>
          <w:tcPr>
            <w:tcW w:w="2667" w:type="dxa"/>
            <w:vAlign w:val="bottom"/>
          </w:tcPr>
          <w:p w14:paraId="1062CC64" w14:textId="77777777" w:rsidR="005937A6" w:rsidRPr="001D757C" w:rsidRDefault="005937A6" w:rsidP="00686421">
            <w:pPr>
              <w:spacing w:after="0"/>
              <w:ind w:hanging="2"/>
              <w:rPr>
                <w:rFonts w:ascii="Times New Roman" w:eastAsia="Times New Roman" w:hAnsi="Times New Roman" w:cs="Times New Roman"/>
              </w:rPr>
            </w:pPr>
            <w:r w:rsidRPr="001D757C">
              <w:rPr>
                <w:rFonts w:ascii="Times New Roman" w:hAnsi="Times New Roman" w:cs="Times New Roman"/>
              </w:rPr>
              <w:t>KAM2</w:t>
            </w:r>
          </w:p>
        </w:tc>
        <w:tc>
          <w:tcPr>
            <w:tcW w:w="1450" w:type="dxa"/>
            <w:noWrap/>
          </w:tcPr>
          <w:p w14:paraId="3947D3BF"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hAnsi="Times New Roman" w:cs="Times New Roman"/>
              </w:rPr>
              <w:t>-0.001</w:t>
            </w:r>
            <w:r w:rsidRPr="001D757C">
              <w:rPr>
                <w:rFonts w:ascii="Times New Roman" w:hAnsi="Times New Roman" w:cs="Times New Roman"/>
                <w:vertAlign w:val="superscript"/>
              </w:rPr>
              <w:t>**</w:t>
            </w:r>
          </w:p>
        </w:tc>
        <w:tc>
          <w:tcPr>
            <w:tcW w:w="1377" w:type="dxa"/>
            <w:noWrap/>
          </w:tcPr>
          <w:p w14:paraId="139321CD"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hAnsi="Times New Roman" w:cs="Times New Roman"/>
              </w:rPr>
              <w:t>-2.358</w:t>
            </w:r>
          </w:p>
        </w:tc>
        <w:tc>
          <w:tcPr>
            <w:tcW w:w="1442" w:type="dxa"/>
            <w:noWrap/>
          </w:tcPr>
          <w:p w14:paraId="0E848008"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hAnsi="Times New Roman" w:cs="Times New Roman"/>
              </w:rPr>
              <w:t>0.019</w:t>
            </w:r>
          </w:p>
        </w:tc>
      </w:tr>
      <w:tr w:rsidR="005937A6" w:rsidRPr="00935C7F" w14:paraId="6B3FC76B" w14:textId="77777777" w:rsidTr="00C27AA2">
        <w:trPr>
          <w:trHeight w:val="315"/>
          <w:jc w:val="center"/>
        </w:trPr>
        <w:tc>
          <w:tcPr>
            <w:tcW w:w="2667" w:type="dxa"/>
            <w:vAlign w:val="bottom"/>
          </w:tcPr>
          <w:p w14:paraId="364AC0FE" w14:textId="77777777" w:rsidR="005937A6" w:rsidRPr="001D757C" w:rsidRDefault="005937A6" w:rsidP="00686421">
            <w:pPr>
              <w:spacing w:after="0"/>
              <w:ind w:hanging="2"/>
              <w:rPr>
                <w:rFonts w:ascii="Times New Roman" w:eastAsia="Times New Roman" w:hAnsi="Times New Roman" w:cs="Times New Roman"/>
              </w:rPr>
            </w:pPr>
            <w:r w:rsidRPr="001D757C">
              <w:rPr>
                <w:rFonts w:ascii="Times New Roman" w:hAnsi="Times New Roman" w:cs="Times New Roman"/>
              </w:rPr>
              <w:t>KAM3</w:t>
            </w:r>
          </w:p>
        </w:tc>
        <w:tc>
          <w:tcPr>
            <w:tcW w:w="1450" w:type="dxa"/>
            <w:noWrap/>
          </w:tcPr>
          <w:p w14:paraId="6CDA9ECC"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hAnsi="Times New Roman" w:cs="Times New Roman"/>
              </w:rPr>
              <w:t>0.000</w:t>
            </w:r>
          </w:p>
        </w:tc>
        <w:tc>
          <w:tcPr>
            <w:tcW w:w="1377" w:type="dxa"/>
            <w:noWrap/>
          </w:tcPr>
          <w:p w14:paraId="1A0ADFBD"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hAnsi="Times New Roman" w:cs="Times New Roman"/>
              </w:rPr>
              <w:t>0.371</w:t>
            </w:r>
          </w:p>
        </w:tc>
        <w:tc>
          <w:tcPr>
            <w:tcW w:w="1442" w:type="dxa"/>
            <w:noWrap/>
          </w:tcPr>
          <w:p w14:paraId="2E36113B"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hAnsi="Times New Roman" w:cs="Times New Roman"/>
              </w:rPr>
              <w:t>0.710</w:t>
            </w:r>
          </w:p>
        </w:tc>
      </w:tr>
      <w:tr w:rsidR="005937A6" w:rsidRPr="00935C7F" w14:paraId="29C2BD8D" w14:textId="77777777" w:rsidTr="00C27AA2">
        <w:trPr>
          <w:trHeight w:val="315"/>
          <w:jc w:val="center"/>
        </w:trPr>
        <w:tc>
          <w:tcPr>
            <w:tcW w:w="2667" w:type="dxa"/>
            <w:tcBorders>
              <w:bottom w:val="nil"/>
            </w:tcBorders>
            <w:vAlign w:val="bottom"/>
          </w:tcPr>
          <w:p w14:paraId="08D23C8D" w14:textId="77777777" w:rsidR="005937A6" w:rsidRPr="001D757C" w:rsidRDefault="005937A6" w:rsidP="00686421">
            <w:pPr>
              <w:spacing w:after="0"/>
              <w:ind w:hanging="2"/>
              <w:rPr>
                <w:rFonts w:ascii="Times New Roman" w:eastAsia="Times New Roman" w:hAnsi="Times New Roman" w:cs="Times New Roman"/>
              </w:rPr>
            </w:pPr>
            <w:r w:rsidRPr="001D757C">
              <w:rPr>
                <w:rFonts w:ascii="Times New Roman" w:hAnsi="Times New Roman" w:cs="Times New Roman"/>
              </w:rPr>
              <w:t>AUOP</w:t>
            </w:r>
          </w:p>
        </w:tc>
        <w:tc>
          <w:tcPr>
            <w:tcW w:w="1450" w:type="dxa"/>
            <w:tcBorders>
              <w:bottom w:val="nil"/>
            </w:tcBorders>
            <w:noWrap/>
          </w:tcPr>
          <w:p w14:paraId="04699743"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hAnsi="Times New Roman" w:cs="Times New Roman"/>
              </w:rPr>
              <w:t>-0.004</w:t>
            </w:r>
          </w:p>
        </w:tc>
        <w:tc>
          <w:tcPr>
            <w:tcW w:w="1377" w:type="dxa"/>
            <w:tcBorders>
              <w:bottom w:val="nil"/>
            </w:tcBorders>
            <w:noWrap/>
          </w:tcPr>
          <w:p w14:paraId="61DC94FE"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hAnsi="Times New Roman" w:cs="Times New Roman"/>
              </w:rPr>
              <w:t>-0.865</w:t>
            </w:r>
          </w:p>
        </w:tc>
        <w:tc>
          <w:tcPr>
            <w:tcW w:w="1442" w:type="dxa"/>
            <w:tcBorders>
              <w:bottom w:val="nil"/>
            </w:tcBorders>
            <w:noWrap/>
          </w:tcPr>
          <w:p w14:paraId="664CC231"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hAnsi="Times New Roman" w:cs="Times New Roman"/>
              </w:rPr>
              <w:t>0.387</w:t>
            </w:r>
          </w:p>
        </w:tc>
      </w:tr>
      <w:tr w:rsidR="005937A6" w:rsidRPr="00935C7F" w14:paraId="6191C29F" w14:textId="77777777" w:rsidTr="00C27AA2">
        <w:trPr>
          <w:trHeight w:val="45"/>
          <w:jc w:val="center"/>
        </w:trPr>
        <w:tc>
          <w:tcPr>
            <w:tcW w:w="2667" w:type="dxa"/>
            <w:tcBorders>
              <w:top w:val="nil"/>
              <w:left w:val="nil"/>
              <w:bottom w:val="nil"/>
              <w:right w:val="nil"/>
            </w:tcBorders>
            <w:vAlign w:val="bottom"/>
          </w:tcPr>
          <w:p w14:paraId="2EEE8558" w14:textId="77777777" w:rsidR="005937A6" w:rsidRPr="001D757C" w:rsidRDefault="005937A6" w:rsidP="00686421">
            <w:pPr>
              <w:spacing w:after="0"/>
              <w:ind w:hanging="2"/>
              <w:rPr>
                <w:rFonts w:ascii="Times New Roman" w:eastAsia="Times New Roman" w:hAnsi="Times New Roman" w:cs="Times New Roman"/>
              </w:rPr>
            </w:pPr>
            <w:r w:rsidRPr="001D757C">
              <w:rPr>
                <w:rFonts w:ascii="Times New Roman" w:hAnsi="Times New Roman" w:cs="Times New Roman"/>
              </w:rPr>
              <w:t>BIG4</w:t>
            </w:r>
          </w:p>
        </w:tc>
        <w:tc>
          <w:tcPr>
            <w:tcW w:w="1450" w:type="dxa"/>
            <w:tcBorders>
              <w:top w:val="nil"/>
              <w:left w:val="nil"/>
              <w:bottom w:val="nil"/>
              <w:right w:val="nil"/>
            </w:tcBorders>
            <w:noWrap/>
          </w:tcPr>
          <w:p w14:paraId="0F7E4083"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hAnsi="Times New Roman" w:cs="Times New Roman"/>
              </w:rPr>
              <w:t>-0.010</w:t>
            </w:r>
            <w:r w:rsidRPr="001D757C">
              <w:rPr>
                <w:rFonts w:ascii="Times New Roman" w:hAnsi="Times New Roman" w:cs="Times New Roman"/>
                <w:vertAlign w:val="superscript"/>
              </w:rPr>
              <w:t>***</w:t>
            </w:r>
          </w:p>
        </w:tc>
        <w:tc>
          <w:tcPr>
            <w:tcW w:w="1377" w:type="dxa"/>
            <w:tcBorders>
              <w:top w:val="nil"/>
              <w:left w:val="nil"/>
              <w:bottom w:val="nil"/>
              <w:right w:val="nil"/>
            </w:tcBorders>
            <w:noWrap/>
          </w:tcPr>
          <w:p w14:paraId="797D9643"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hAnsi="Times New Roman" w:cs="Times New Roman"/>
              </w:rPr>
              <w:t>-12.120</w:t>
            </w:r>
          </w:p>
        </w:tc>
        <w:tc>
          <w:tcPr>
            <w:tcW w:w="1442" w:type="dxa"/>
            <w:tcBorders>
              <w:top w:val="nil"/>
              <w:left w:val="nil"/>
              <w:bottom w:val="nil"/>
              <w:right w:val="nil"/>
            </w:tcBorders>
            <w:noWrap/>
          </w:tcPr>
          <w:p w14:paraId="61FA7CC7"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hAnsi="Times New Roman" w:cs="Times New Roman"/>
              </w:rPr>
              <w:t>0.000</w:t>
            </w:r>
          </w:p>
        </w:tc>
      </w:tr>
      <w:tr w:rsidR="005937A6" w:rsidRPr="00935C7F" w14:paraId="1584FB63" w14:textId="77777777" w:rsidTr="00C27AA2">
        <w:trPr>
          <w:trHeight w:val="315"/>
          <w:jc w:val="center"/>
        </w:trPr>
        <w:tc>
          <w:tcPr>
            <w:tcW w:w="2667" w:type="dxa"/>
            <w:tcBorders>
              <w:top w:val="nil"/>
              <w:left w:val="nil"/>
              <w:bottom w:val="nil"/>
              <w:right w:val="nil"/>
            </w:tcBorders>
            <w:vAlign w:val="bottom"/>
          </w:tcPr>
          <w:p w14:paraId="2FE42FEB" w14:textId="77777777" w:rsidR="005937A6" w:rsidRPr="001D757C" w:rsidRDefault="005937A6" w:rsidP="00686421">
            <w:pPr>
              <w:spacing w:after="0"/>
              <w:ind w:hanging="2"/>
              <w:rPr>
                <w:rFonts w:ascii="Times New Roman" w:eastAsia="Times New Roman" w:hAnsi="Times New Roman" w:cs="Times New Roman"/>
              </w:rPr>
            </w:pPr>
            <w:r w:rsidRPr="001D757C">
              <w:rPr>
                <w:rFonts w:ascii="Times New Roman" w:hAnsi="Times New Roman" w:cs="Times New Roman"/>
              </w:rPr>
              <w:t>TVOL</w:t>
            </w:r>
          </w:p>
        </w:tc>
        <w:tc>
          <w:tcPr>
            <w:tcW w:w="1450" w:type="dxa"/>
            <w:tcBorders>
              <w:top w:val="nil"/>
              <w:left w:val="nil"/>
              <w:bottom w:val="nil"/>
              <w:right w:val="nil"/>
            </w:tcBorders>
            <w:noWrap/>
          </w:tcPr>
          <w:p w14:paraId="600F2243"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hAnsi="Times New Roman" w:cs="Times New Roman"/>
              </w:rPr>
              <w:t>0.001</w:t>
            </w:r>
            <w:r w:rsidRPr="001D757C">
              <w:rPr>
                <w:rFonts w:ascii="Times New Roman" w:hAnsi="Times New Roman" w:cs="Times New Roman"/>
                <w:vertAlign w:val="superscript"/>
              </w:rPr>
              <w:t>***</w:t>
            </w:r>
          </w:p>
        </w:tc>
        <w:tc>
          <w:tcPr>
            <w:tcW w:w="1377" w:type="dxa"/>
            <w:tcBorders>
              <w:top w:val="nil"/>
              <w:left w:val="nil"/>
              <w:bottom w:val="nil"/>
              <w:right w:val="nil"/>
            </w:tcBorders>
            <w:noWrap/>
          </w:tcPr>
          <w:p w14:paraId="3FA240A7"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hAnsi="Times New Roman" w:cs="Times New Roman"/>
              </w:rPr>
              <w:t>5.903</w:t>
            </w:r>
          </w:p>
        </w:tc>
        <w:tc>
          <w:tcPr>
            <w:tcW w:w="1442" w:type="dxa"/>
            <w:tcBorders>
              <w:top w:val="nil"/>
              <w:left w:val="nil"/>
              <w:bottom w:val="nil"/>
              <w:right w:val="nil"/>
            </w:tcBorders>
            <w:noWrap/>
          </w:tcPr>
          <w:p w14:paraId="4E97181D"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hAnsi="Times New Roman" w:cs="Times New Roman"/>
              </w:rPr>
              <w:t>0.000</w:t>
            </w:r>
          </w:p>
        </w:tc>
      </w:tr>
      <w:tr w:rsidR="005937A6" w:rsidRPr="00935C7F" w14:paraId="4574C3A4" w14:textId="77777777" w:rsidTr="00C27AA2">
        <w:trPr>
          <w:trHeight w:val="315"/>
          <w:jc w:val="center"/>
        </w:trPr>
        <w:tc>
          <w:tcPr>
            <w:tcW w:w="2667" w:type="dxa"/>
            <w:tcBorders>
              <w:top w:val="single" w:sz="4" w:space="0" w:color="auto"/>
              <w:bottom w:val="nil"/>
            </w:tcBorders>
            <w:vAlign w:val="bottom"/>
            <w:hideMark/>
          </w:tcPr>
          <w:p w14:paraId="29ACB931" w14:textId="77777777" w:rsidR="005937A6" w:rsidRPr="001D757C" w:rsidRDefault="005937A6" w:rsidP="00686421">
            <w:pPr>
              <w:spacing w:after="0"/>
              <w:ind w:hanging="2"/>
              <w:rPr>
                <w:rFonts w:ascii="Times New Roman" w:eastAsia="Times New Roman" w:hAnsi="Times New Roman" w:cs="Times New Roman"/>
              </w:rPr>
            </w:pPr>
            <w:r w:rsidRPr="001D757C">
              <w:rPr>
                <w:rFonts w:ascii="Times New Roman" w:eastAsia="Times New Roman" w:hAnsi="Times New Roman" w:cs="Times New Roman"/>
              </w:rPr>
              <w:t>Adjusted R-Squared</w:t>
            </w:r>
          </w:p>
        </w:tc>
        <w:tc>
          <w:tcPr>
            <w:tcW w:w="1450" w:type="dxa"/>
            <w:tcBorders>
              <w:top w:val="single" w:sz="4" w:space="0" w:color="auto"/>
              <w:bottom w:val="nil"/>
            </w:tcBorders>
            <w:noWrap/>
            <w:hideMark/>
          </w:tcPr>
          <w:p w14:paraId="6249576D"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eastAsia="Times New Roman" w:hAnsi="Times New Roman" w:cs="Times New Roman"/>
              </w:rPr>
              <w:t>0.125</w:t>
            </w:r>
          </w:p>
        </w:tc>
        <w:tc>
          <w:tcPr>
            <w:tcW w:w="1377" w:type="dxa"/>
            <w:tcBorders>
              <w:top w:val="single" w:sz="4" w:space="0" w:color="auto"/>
              <w:bottom w:val="nil"/>
            </w:tcBorders>
            <w:noWrap/>
            <w:vAlign w:val="bottom"/>
          </w:tcPr>
          <w:p w14:paraId="32ABED81" w14:textId="77777777" w:rsidR="005937A6" w:rsidRPr="001D757C" w:rsidRDefault="005937A6" w:rsidP="00686421">
            <w:pPr>
              <w:spacing w:after="0"/>
              <w:ind w:hanging="2"/>
              <w:rPr>
                <w:rFonts w:ascii="Times New Roman" w:eastAsia="Times New Roman" w:hAnsi="Times New Roman" w:cs="Times New Roman"/>
              </w:rPr>
            </w:pPr>
          </w:p>
        </w:tc>
        <w:tc>
          <w:tcPr>
            <w:tcW w:w="1442" w:type="dxa"/>
            <w:tcBorders>
              <w:top w:val="single" w:sz="4" w:space="0" w:color="auto"/>
              <w:bottom w:val="nil"/>
            </w:tcBorders>
            <w:noWrap/>
            <w:vAlign w:val="bottom"/>
          </w:tcPr>
          <w:p w14:paraId="08C33FD7" w14:textId="77777777" w:rsidR="005937A6" w:rsidRPr="001D757C" w:rsidRDefault="005937A6" w:rsidP="00686421">
            <w:pPr>
              <w:spacing w:after="0"/>
              <w:ind w:hanging="2"/>
              <w:rPr>
                <w:rFonts w:ascii="Times New Roman" w:eastAsia="Times New Roman" w:hAnsi="Times New Roman" w:cs="Times New Roman"/>
              </w:rPr>
            </w:pPr>
          </w:p>
        </w:tc>
      </w:tr>
      <w:tr w:rsidR="005937A6" w:rsidRPr="00935C7F" w14:paraId="6628789B" w14:textId="77777777" w:rsidTr="00C27AA2">
        <w:trPr>
          <w:trHeight w:val="315"/>
          <w:jc w:val="center"/>
        </w:trPr>
        <w:tc>
          <w:tcPr>
            <w:tcW w:w="2667" w:type="dxa"/>
            <w:tcBorders>
              <w:top w:val="nil"/>
              <w:bottom w:val="nil"/>
            </w:tcBorders>
            <w:vAlign w:val="bottom"/>
          </w:tcPr>
          <w:p w14:paraId="2B824EAF" w14:textId="77777777" w:rsidR="005937A6" w:rsidRPr="001D757C" w:rsidRDefault="005937A6" w:rsidP="00686421">
            <w:pPr>
              <w:spacing w:after="0"/>
              <w:ind w:hanging="2"/>
              <w:rPr>
                <w:rFonts w:ascii="Times New Roman" w:eastAsia="Times New Roman" w:hAnsi="Times New Roman" w:cs="Times New Roman"/>
              </w:rPr>
            </w:pPr>
            <w:r w:rsidRPr="001D757C">
              <w:rPr>
                <w:rFonts w:ascii="Times New Roman" w:eastAsia="Times New Roman" w:hAnsi="Times New Roman" w:cs="Times New Roman"/>
              </w:rPr>
              <w:t>Durbin-Watson</w:t>
            </w:r>
          </w:p>
        </w:tc>
        <w:tc>
          <w:tcPr>
            <w:tcW w:w="1450" w:type="dxa"/>
            <w:tcBorders>
              <w:top w:val="nil"/>
              <w:bottom w:val="nil"/>
            </w:tcBorders>
            <w:noWrap/>
          </w:tcPr>
          <w:p w14:paraId="41115CD3"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eastAsia="Times New Roman" w:hAnsi="Times New Roman" w:cs="Times New Roman"/>
              </w:rPr>
              <w:t>1.911</w:t>
            </w:r>
          </w:p>
        </w:tc>
        <w:tc>
          <w:tcPr>
            <w:tcW w:w="1377" w:type="dxa"/>
            <w:tcBorders>
              <w:top w:val="nil"/>
              <w:bottom w:val="nil"/>
            </w:tcBorders>
            <w:noWrap/>
            <w:vAlign w:val="bottom"/>
          </w:tcPr>
          <w:p w14:paraId="5222EEE8" w14:textId="77777777" w:rsidR="005937A6" w:rsidRPr="001D757C" w:rsidRDefault="005937A6" w:rsidP="00686421">
            <w:pPr>
              <w:spacing w:after="0"/>
              <w:ind w:hanging="2"/>
              <w:rPr>
                <w:rFonts w:ascii="Times New Roman" w:eastAsia="Times New Roman" w:hAnsi="Times New Roman" w:cs="Times New Roman"/>
              </w:rPr>
            </w:pPr>
          </w:p>
        </w:tc>
        <w:tc>
          <w:tcPr>
            <w:tcW w:w="1442" w:type="dxa"/>
            <w:tcBorders>
              <w:top w:val="nil"/>
              <w:bottom w:val="nil"/>
            </w:tcBorders>
            <w:noWrap/>
            <w:vAlign w:val="bottom"/>
          </w:tcPr>
          <w:p w14:paraId="21341579" w14:textId="77777777" w:rsidR="005937A6" w:rsidRPr="001D757C" w:rsidRDefault="005937A6" w:rsidP="00686421">
            <w:pPr>
              <w:spacing w:after="0"/>
              <w:ind w:hanging="2"/>
              <w:rPr>
                <w:rFonts w:ascii="Times New Roman" w:eastAsia="Times New Roman" w:hAnsi="Times New Roman" w:cs="Times New Roman"/>
              </w:rPr>
            </w:pPr>
          </w:p>
        </w:tc>
      </w:tr>
      <w:tr w:rsidR="005937A6" w:rsidRPr="00935C7F" w14:paraId="09D591ED" w14:textId="77777777" w:rsidTr="00C27AA2">
        <w:trPr>
          <w:trHeight w:val="315"/>
          <w:jc w:val="center"/>
        </w:trPr>
        <w:tc>
          <w:tcPr>
            <w:tcW w:w="2667" w:type="dxa"/>
            <w:tcBorders>
              <w:top w:val="nil"/>
            </w:tcBorders>
            <w:vAlign w:val="bottom"/>
            <w:hideMark/>
          </w:tcPr>
          <w:p w14:paraId="39A7AE3F" w14:textId="77777777" w:rsidR="005937A6" w:rsidRPr="001D757C" w:rsidRDefault="005937A6" w:rsidP="00686421">
            <w:pPr>
              <w:spacing w:after="0"/>
              <w:ind w:hanging="2"/>
              <w:rPr>
                <w:rFonts w:ascii="Times New Roman" w:eastAsia="Times New Roman" w:hAnsi="Times New Roman" w:cs="Times New Roman"/>
              </w:rPr>
            </w:pPr>
            <w:r w:rsidRPr="001D757C">
              <w:rPr>
                <w:rFonts w:ascii="Times New Roman" w:eastAsia="Times New Roman" w:hAnsi="Times New Roman" w:cs="Times New Roman"/>
              </w:rPr>
              <w:t>Prob &gt; F</w:t>
            </w:r>
          </w:p>
        </w:tc>
        <w:tc>
          <w:tcPr>
            <w:tcW w:w="1450" w:type="dxa"/>
            <w:tcBorders>
              <w:top w:val="nil"/>
            </w:tcBorders>
            <w:noWrap/>
            <w:hideMark/>
          </w:tcPr>
          <w:p w14:paraId="70D47BDA" w14:textId="77777777" w:rsidR="005937A6" w:rsidRPr="001D757C" w:rsidRDefault="005937A6" w:rsidP="00C27AA2">
            <w:pPr>
              <w:spacing w:after="0"/>
              <w:ind w:hanging="2"/>
              <w:jc w:val="right"/>
              <w:rPr>
                <w:rFonts w:ascii="Times New Roman" w:eastAsia="Times New Roman" w:hAnsi="Times New Roman" w:cs="Times New Roman"/>
              </w:rPr>
            </w:pPr>
            <w:r w:rsidRPr="001D757C">
              <w:rPr>
                <w:rFonts w:ascii="Times New Roman" w:eastAsia="Times New Roman" w:hAnsi="Times New Roman" w:cs="Times New Roman"/>
              </w:rPr>
              <w:t>0.000</w:t>
            </w:r>
          </w:p>
        </w:tc>
        <w:tc>
          <w:tcPr>
            <w:tcW w:w="1377" w:type="dxa"/>
            <w:tcBorders>
              <w:top w:val="nil"/>
            </w:tcBorders>
            <w:noWrap/>
            <w:vAlign w:val="bottom"/>
          </w:tcPr>
          <w:p w14:paraId="22A059A7" w14:textId="77777777" w:rsidR="005937A6" w:rsidRPr="001D757C" w:rsidRDefault="005937A6" w:rsidP="00686421">
            <w:pPr>
              <w:spacing w:after="0"/>
              <w:ind w:hanging="2"/>
              <w:rPr>
                <w:rFonts w:ascii="Times New Roman" w:eastAsia="Times New Roman" w:hAnsi="Times New Roman" w:cs="Times New Roman"/>
              </w:rPr>
            </w:pPr>
          </w:p>
        </w:tc>
        <w:tc>
          <w:tcPr>
            <w:tcW w:w="1442" w:type="dxa"/>
            <w:tcBorders>
              <w:top w:val="nil"/>
            </w:tcBorders>
            <w:noWrap/>
            <w:vAlign w:val="bottom"/>
          </w:tcPr>
          <w:p w14:paraId="7C9C0E17" w14:textId="77777777" w:rsidR="005937A6" w:rsidRPr="001D757C" w:rsidRDefault="005937A6" w:rsidP="00686421">
            <w:pPr>
              <w:spacing w:after="0"/>
              <w:ind w:hanging="2"/>
              <w:rPr>
                <w:rFonts w:ascii="Times New Roman" w:eastAsia="Times New Roman" w:hAnsi="Times New Roman" w:cs="Times New Roman"/>
              </w:rPr>
            </w:pPr>
          </w:p>
        </w:tc>
      </w:tr>
    </w:tbl>
    <w:p w14:paraId="614BF774" w14:textId="77777777" w:rsidR="005937A6" w:rsidRPr="00935C7F" w:rsidRDefault="005937A6" w:rsidP="00686421">
      <w:pPr>
        <w:spacing w:after="0"/>
        <w:jc w:val="both"/>
        <w:rPr>
          <w:rFonts w:ascii="Times New Roman" w:eastAsia="Times New Roman" w:hAnsi="Times New Roman" w:cs="Times New Roman"/>
          <w:sz w:val="24"/>
          <w:szCs w:val="24"/>
        </w:rPr>
      </w:pPr>
    </w:p>
    <w:p w14:paraId="1C096369" w14:textId="77777777" w:rsidR="00EC1F8D" w:rsidRDefault="00EC1F8D" w:rsidP="00EC1F8D">
      <w:pPr>
        <w:spacing w:after="0"/>
        <w:ind w:firstLine="426"/>
        <w:jc w:val="both"/>
        <w:rPr>
          <w:rFonts w:ascii="Times New Roman" w:eastAsia="Times New Roman" w:hAnsi="Times New Roman" w:cs="Times New Roman"/>
          <w:sz w:val="24"/>
          <w:szCs w:val="24"/>
          <w:lang w:val="id-ID"/>
        </w:rPr>
      </w:pPr>
      <w:r w:rsidRPr="00935C7F">
        <w:rPr>
          <w:rFonts w:ascii="Times New Roman" w:eastAsia="Times New Roman" w:hAnsi="Times New Roman" w:cs="Times New Roman"/>
          <w:sz w:val="24"/>
          <w:szCs w:val="24"/>
        </w:rPr>
        <w:t>The Prob &gt; F value of 0.000 indicates that the overall regression model is statistically significant at the 1% significance level. In other words, at least one of the independent variables in the model has a significant relationship with the dependent variable (RISK). Despite the relatively low Adjusted R-</w:t>
      </w:r>
      <w:r>
        <w:rPr>
          <w:rFonts w:ascii="Times New Roman" w:eastAsia="Times New Roman" w:hAnsi="Times New Roman" w:cs="Times New Roman"/>
          <w:sz w:val="24"/>
          <w:szCs w:val="24"/>
        </w:rPr>
        <w:t>s</w:t>
      </w:r>
      <w:r w:rsidRPr="00935C7F">
        <w:rPr>
          <w:rFonts w:ascii="Times New Roman" w:eastAsia="Times New Roman" w:hAnsi="Times New Roman" w:cs="Times New Roman"/>
          <w:sz w:val="24"/>
          <w:szCs w:val="24"/>
        </w:rPr>
        <w:t>quared, this result from the F-test shows that the regression model can be used to predict investment risk, as the independent variables included in the model significantly contribute to explaining the dependent variable.</w:t>
      </w:r>
    </w:p>
    <w:p w14:paraId="3A610C7C" w14:textId="77777777" w:rsidR="005937A6" w:rsidRPr="00935C7F" w:rsidRDefault="005937A6" w:rsidP="00686421">
      <w:pPr>
        <w:spacing w:after="0"/>
        <w:ind w:firstLine="426"/>
        <w:jc w:val="both"/>
        <w:rPr>
          <w:rFonts w:ascii="Times New Roman" w:eastAsia="Times New Roman" w:hAnsi="Times New Roman" w:cs="Times New Roman"/>
          <w:sz w:val="24"/>
          <w:szCs w:val="24"/>
        </w:rPr>
      </w:pPr>
      <w:r w:rsidRPr="00935C7F">
        <w:rPr>
          <w:rFonts w:ascii="Times New Roman" w:eastAsia="Times New Roman" w:hAnsi="Times New Roman" w:cs="Times New Roman"/>
          <w:sz w:val="24"/>
          <w:szCs w:val="24"/>
        </w:rPr>
        <w:t xml:space="preserve">Regarding the control variables, AUOP (audit opinion) is not significant (t = -0.865, p = 0.387), suggesting that a clean audit opinion does not significantly affect investment risk. BIG4 (audit firm) shows a significant negative relationship with RISK (β = -0.010, t = -12.120, p = 0.000), indicating that companies audited by Big 4 firms tend to exhibit lower </w:t>
      </w:r>
      <w:r w:rsidRPr="00935C7F">
        <w:rPr>
          <w:rFonts w:ascii="Times New Roman" w:eastAsia="Times New Roman" w:hAnsi="Times New Roman" w:cs="Times New Roman"/>
          <w:sz w:val="24"/>
          <w:szCs w:val="24"/>
        </w:rPr>
        <w:lastRenderedPageBreak/>
        <w:t>investment risk. Lastly, TVOL (trading volume) has a significant positive relationship with RISK (β = 0.001, t = 5.903, p = 0.000), suggesting that higher trading volumes are associated with increased market uncertainty and risk.</w:t>
      </w:r>
    </w:p>
    <w:p w14:paraId="10638D07" w14:textId="5546DAFB" w:rsidR="00DE1456" w:rsidRPr="00935C7F" w:rsidRDefault="00DE1456" w:rsidP="00686421">
      <w:pPr>
        <w:spacing w:after="0"/>
        <w:ind w:firstLine="426"/>
        <w:jc w:val="both"/>
        <w:rPr>
          <w:rFonts w:ascii="Times New Roman" w:eastAsia="Times New Roman" w:hAnsi="Times New Roman" w:cs="Times New Roman"/>
          <w:sz w:val="24"/>
          <w:szCs w:val="24"/>
          <w:lang w:val="id-ID"/>
        </w:rPr>
      </w:pPr>
      <w:r w:rsidRPr="00935C7F">
        <w:rPr>
          <w:rFonts w:ascii="Times New Roman" w:eastAsia="Times New Roman" w:hAnsi="Times New Roman" w:cs="Times New Roman"/>
          <w:sz w:val="24"/>
          <w:szCs w:val="24"/>
          <w:lang w:val="id-ID"/>
        </w:rPr>
        <w:t xml:space="preserve">Table 6 presents the robustness test results, which were conducted by modifying the primary research model through three distinct approaches. Model 1 represents the baseline specification used in the main analysis. Model 2 substitutes the original trading volume (TVOL) control variable with the natural logarithm of </w:t>
      </w:r>
      <w:r w:rsidR="00155DF9">
        <w:rPr>
          <w:rFonts w:ascii="Times New Roman" w:eastAsia="Times New Roman" w:hAnsi="Times New Roman" w:cs="Times New Roman"/>
          <w:sz w:val="24"/>
          <w:szCs w:val="24"/>
          <w:lang w:val="id-ID"/>
        </w:rPr>
        <w:t xml:space="preserve">the </w:t>
      </w:r>
      <w:r w:rsidRPr="00935C7F">
        <w:rPr>
          <w:rFonts w:ascii="Times New Roman" w:eastAsia="Times New Roman" w:hAnsi="Times New Roman" w:cs="Times New Roman"/>
          <w:sz w:val="24"/>
          <w:szCs w:val="24"/>
          <w:lang w:val="id-ID"/>
        </w:rPr>
        <w:t xml:space="preserve">sum of shares traded rather than </w:t>
      </w:r>
      <w:r w:rsidR="00594A78">
        <w:rPr>
          <w:rFonts w:ascii="Times New Roman" w:eastAsia="Times New Roman" w:hAnsi="Times New Roman" w:cs="Times New Roman"/>
          <w:sz w:val="24"/>
          <w:szCs w:val="24"/>
          <w:lang w:val="id-ID"/>
        </w:rPr>
        <w:t xml:space="preserve">the </w:t>
      </w:r>
      <w:r w:rsidRPr="00935C7F">
        <w:rPr>
          <w:rFonts w:ascii="Times New Roman" w:eastAsia="Times New Roman" w:hAnsi="Times New Roman" w:cs="Times New Roman"/>
          <w:sz w:val="24"/>
          <w:szCs w:val="24"/>
          <w:lang w:val="id-ID"/>
        </w:rPr>
        <w:t>average. Model 3 excludes all control variables to assess the standalone effect of KAM disclosures, while Model 4 replaces the daily return standard deviation (the primary investment risk proxy) with a weekly standard deviation measure. The results confirm that KAM2 (paragraph-based disclosure depth) </w:t>
      </w:r>
      <w:r w:rsidR="002F370D" w:rsidRPr="002F370D">
        <w:rPr>
          <w:rFonts w:ascii="Times New Roman" w:eastAsia="Times New Roman" w:hAnsi="Times New Roman" w:cs="Times New Roman"/>
          <w:sz w:val="24"/>
          <w:szCs w:val="24"/>
        </w:rPr>
        <w:t>continues to show a statistically significant</w:t>
      </w:r>
      <w:r w:rsidRPr="00935C7F">
        <w:rPr>
          <w:rFonts w:ascii="Times New Roman" w:eastAsia="Times New Roman" w:hAnsi="Times New Roman" w:cs="Times New Roman"/>
          <w:sz w:val="24"/>
          <w:szCs w:val="24"/>
          <w:lang w:val="id-ID"/>
        </w:rPr>
        <w:t xml:space="preserve"> negative association with investment risk across all specifications (</w:t>
      </w:r>
      <w:r w:rsidRPr="00935C7F">
        <w:rPr>
          <w:rFonts w:ascii="Times New Roman" w:eastAsia="Times New Roman" w:hAnsi="Times New Roman" w:cs="Times New Roman"/>
          <w:i/>
          <w:iCs/>
          <w:sz w:val="24"/>
          <w:szCs w:val="24"/>
          <w:lang w:val="id-ID"/>
        </w:rPr>
        <w:t>p &lt; 0.01</w:t>
      </w:r>
      <w:r w:rsidRPr="00935C7F">
        <w:rPr>
          <w:rFonts w:ascii="Times New Roman" w:eastAsia="Times New Roman" w:hAnsi="Times New Roman" w:cs="Times New Roman"/>
          <w:sz w:val="24"/>
          <w:szCs w:val="24"/>
          <w:lang w:val="id-ID"/>
        </w:rPr>
        <w:t xml:space="preserve">), regardless of whether </w:t>
      </w:r>
      <w:r w:rsidR="00594A78">
        <w:rPr>
          <w:rFonts w:ascii="Times New Roman" w:eastAsia="Times New Roman" w:hAnsi="Times New Roman" w:cs="Times New Roman"/>
          <w:sz w:val="24"/>
          <w:szCs w:val="24"/>
          <w:lang w:val="id-ID"/>
        </w:rPr>
        <w:t xml:space="preserve">the </w:t>
      </w:r>
      <w:r w:rsidRPr="00935C7F">
        <w:rPr>
          <w:rFonts w:ascii="Times New Roman" w:eastAsia="Times New Roman" w:hAnsi="Times New Roman" w:cs="Times New Roman"/>
          <w:sz w:val="24"/>
          <w:szCs w:val="24"/>
          <w:lang w:val="id-ID"/>
        </w:rPr>
        <w:t>risk is measured using daily or weekly standard deviations. This consistency persists even after adjusting control variables, though the Adjusted R² declines markedly in Models 3–4 (from 0.125 to 0.002–0.008), indicating that the control variables collectively explain a substantial portion of investment risk variability. Notably, neither KAM1 (count of KAM items) nor KAM3 (monetary disclosures) show</w:t>
      </w:r>
      <w:r w:rsidR="00594A78">
        <w:rPr>
          <w:rFonts w:ascii="Times New Roman" w:eastAsia="Times New Roman" w:hAnsi="Times New Roman" w:cs="Times New Roman"/>
          <w:sz w:val="24"/>
          <w:szCs w:val="24"/>
          <w:lang w:val="id-ID"/>
        </w:rPr>
        <w:t>s</w:t>
      </w:r>
      <w:r w:rsidRPr="00935C7F">
        <w:rPr>
          <w:rFonts w:ascii="Times New Roman" w:eastAsia="Times New Roman" w:hAnsi="Times New Roman" w:cs="Times New Roman"/>
          <w:sz w:val="24"/>
          <w:szCs w:val="24"/>
          <w:lang w:val="id-ID"/>
        </w:rPr>
        <w:t xml:space="preserve"> significant effects in any model, reinforcing the primacy of disclosure </w:t>
      </w:r>
      <w:r w:rsidRPr="00935C7F">
        <w:rPr>
          <w:rFonts w:ascii="Times New Roman" w:eastAsia="Times New Roman" w:hAnsi="Times New Roman" w:cs="Times New Roman"/>
          <w:i/>
          <w:iCs/>
          <w:sz w:val="24"/>
          <w:szCs w:val="24"/>
          <w:lang w:val="id-ID"/>
        </w:rPr>
        <w:t>quality</w:t>
      </w:r>
      <w:r w:rsidRPr="00935C7F">
        <w:rPr>
          <w:rFonts w:ascii="Times New Roman" w:eastAsia="Times New Roman" w:hAnsi="Times New Roman" w:cs="Times New Roman"/>
          <w:sz w:val="24"/>
          <w:szCs w:val="24"/>
          <w:lang w:val="id-ID"/>
        </w:rPr>
        <w:t> over quantity.</w:t>
      </w:r>
    </w:p>
    <w:p w14:paraId="34E26016" w14:textId="77777777" w:rsidR="006D4A01" w:rsidRDefault="006D4A01" w:rsidP="00686421">
      <w:pPr>
        <w:spacing w:after="0"/>
        <w:ind w:firstLine="720"/>
        <w:jc w:val="center"/>
        <w:rPr>
          <w:rFonts w:ascii="Times New Roman" w:eastAsia="Times New Roman" w:hAnsi="Times New Roman" w:cs="Times New Roman"/>
          <w:b/>
          <w:bCs/>
          <w:sz w:val="24"/>
          <w:szCs w:val="24"/>
          <w:lang w:val="id-ID"/>
        </w:rPr>
      </w:pPr>
    </w:p>
    <w:p w14:paraId="7C1AFE3B" w14:textId="51FD7821" w:rsidR="001D05D2" w:rsidRPr="00935C7F" w:rsidRDefault="001D05D2" w:rsidP="00686421">
      <w:pPr>
        <w:spacing w:after="0"/>
        <w:jc w:val="center"/>
        <w:rPr>
          <w:rFonts w:ascii="Times New Roman" w:eastAsia="Times New Roman" w:hAnsi="Times New Roman" w:cs="Times New Roman"/>
          <w:b/>
          <w:bCs/>
          <w:sz w:val="24"/>
          <w:szCs w:val="24"/>
          <w:lang w:val="id-ID"/>
        </w:rPr>
      </w:pPr>
      <w:r w:rsidRPr="00935C7F">
        <w:rPr>
          <w:rFonts w:ascii="Times New Roman" w:eastAsia="Times New Roman" w:hAnsi="Times New Roman" w:cs="Times New Roman"/>
          <w:b/>
          <w:bCs/>
          <w:sz w:val="24"/>
          <w:szCs w:val="24"/>
          <w:lang w:val="id-ID"/>
        </w:rPr>
        <w:t>Table 6.</w:t>
      </w:r>
      <w:r w:rsidR="00A53711">
        <w:rPr>
          <w:rFonts w:ascii="Times New Roman" w:eastAsia="Times New Roman" w:hAnsi="Times New Roman" w:cs="Times New Roman"/>
          <w:b/>
          <w:bCs/>
          <w:sz w:val="24"/>
          <w:szCs w:val="24"/>
          <w:lang w:val="id-ID"/>
        </w:rPr>
        <w:t xml:space="preserve"> </w:t>
      </w:r>
      <w:r w:rsidRPr="00935C7F">
        <w:rPr>
          <w:rFonts w:ascii="Times New Roman" w:eastAsia="Times New Roman" w:hAnsi="Times New Roman" w:cs="Times New Roman"/>
          <w:b/>
          <w:bCs/>
          <w:sz w:val="24"/>
          <w:szCs w:val="24"/>
          <w:lang w:val="id-ID"/>
        </w:rPr>
        <w:t>Robustness Test Results</w:t>
      </w:r>
    </w:p>
    <w:tbl>
      <w:tblPr>
        <w:tblW w:w="77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50"/>
        <w:gridCol w:w="1637"/>
        <w:gridCol w:w="1303"/>
        <w:gridCol w:w="1816"/>
        <w:gridCol w:w="1666"/>
      </w:tblGrid>
      <w:tr w:rsidR="001D05D2" w:rsidRPr="00935C7F" w14:paraId="7E821780" w14:textId="77777777" w:rsidTr="00C27AA2">
        <w:trPr>
          <w:cantSplit/>
          <w:trHeight w:val="397"/>
          <w:jc w:val="center"/>
        </w:trPr>
        <w:tc>
          <w:tcPr>
            <w:tcW w:w="1350" w:type="dxa"/>
            <w:tcBorders>
              <w:top w:val="single" w:sz="4" w:space="0" w:color="auto"/>
              <w:left w:val="nil"/>
              <w:bottom w:val="single" w:sz="4" w:space="0" w:color="auto"/>
              <w:right w:val="nil"/>
            </w:tcBorders>
            <w:shd w:val="clear" w:color="auto" w:fill="FFFFFF"/>
            <w:vAlign w:val="center"/>
          </w:tcPr>
          <w:p w14:paraId="7FFE32BF" w14:textId="77777777" w:rsidR="001D05D2" w:rsidRPr="001D757C" w:rsidRDefault="001D05D2" w:rsidP="008D480F">
            <w:pPr>
              <w:spacing w:after="0"/>
              <w:ind w:hanging="2"/>
              <w:jc w:val="center"/>
              <w:rPr>
                <w:rFonts w:ascii="Times New Roman" w:eastAsia="Times New Roman" w:hAnsi="Times New Roman" w:cs="Times New Roman"/>
                <w:b/>
                <w:color w:val="000000"/>
                <w:lang w:val="id-ID"/>
              </w:rPr>
            </w:pPr>
            <w:r w:rsidRPr="001D757C">
              <w:rPr>
                <w:rFonts w:ascii="Times New Roman" w:eastAsia="Times New Roman" w:hAnsi="Times New Roman" w:cs="Times New Roman"/>
                <w:b/>
                <w:color w:val="000000"/>
                <w:lang w:val="id-ID"/>
              </w:rPr>
              <w:t>Variable</w:t>
            </w:r>
          </w:p>
        </w:tc>
        <w:tc>
          <w:tcPr>
            <w:tcW w:w="1637" w:type="dxa"/>
            <w:tcBorders>
              <w:top w:val="single" w:sz="4" w:space="0" w:color="auto"/>
              <w:left w:val="nil"/>
              <w:bottom w:val="single" w:sz="4" w:space="0" w:color="auto"/>
              <w:right w:val="nil"/>
            </w:tcBorders>
            <w:shd w:val="clear" w:color="auto" w:fill="FFFFFF"/>
            <w:vAlign w:val="center"/>
          </w:tcPr>
          <w:p w14:paraId="55EDBAE7" w14:textId="279AE170" w:rsidR="001D05D2" w:rsidRPr="001D757C" w:rsidRDefault="001D05D2" w:rsidP="00C27AA2">
            <w:pPr>
              <w:spacing w:after="0"/>
              <w:ind w:hanging="2"/>
              <w:jc w:val="right"/>
              <w:rPr>
                <w:rFonts w:ascii="Times New Roman" w:eastAsia="Times New Roman" w:hAnsi="Times New Roman" w:cs="Times New Roman"/>
                <w:b/>
                <w:color w:val="000000"/>
                <w:lang w:val="id-ID"/>
              </w:rPr>
            </w:pPr>
            <w:r w:rsidRPr="001D757C">
              <w:rPr>
                <w:rFonts w:ascii="Times New Roman" w:eastAsia="Times New Roman" w:hAnsi="Times New Roman" w:cs="Times New Roman"/>
                <w:b/>
                <w:lang w:val="id-ID"/>
              </w:rPr>
              <w:t>β (KAM1)</w:t>
            </w:r>
          </w:p>
        </w:tc>
        <w:tc>
          <w:tcPr>
            <w:tcW w:w="1303" w:type="dxa"/>
            <w:tcBorders>
              <w:top w:val="single" w:sz="4" w:space="0" w:color="auto"/>
              <w:left w:val="nil"/>
              <w:bottom w:val="single" w:sz="4" w:space="0" w:color="auto"/>
              <w:right w:val="nil"/>
            </w:tcBorders>
            <w:shd w:val="clear" w:color="auto" w:fill="FFFFFF"/>
            <w:vAlign w:val="center"/>
          </w:tcPr>
          <w:p w14:paraId="1C2810F4" w14:textId="5124E573" w:rsidR="001D05D2" w:rsidRPr="001D757C" w:rsidRDefault="001D05D2" w:rsidP="00C27AA2">
            <w:pPr>
              <w:spacing w:after="0"/>
              <w:ind w:hanging="2"/>
              <w:jc w:val="right"/>
              <w:rPr>
                <w:rFonts w:ascii="Times New Roman" w:eastAsia="Times New Roman" w:hAnsi="Times New Roman" w:cs="Times New Roman"/>
                <w:b/>
                <w:color w:val="000000"/>
                <w:lang w:val="id-ID"/>
              </w:rPr>
            </w:pPr>
            <w:r w:rsidRPr="001D757C">
              <w:rPr>
                <w:rFonts w:ascii="Times New Roman" w:eastAsia="Times New Roman" w:hAnsi="Times New Roman" w:cs="Times New Roman"/>
                <w:b/>
                <w:lang w:val="id-ID"/>
              </w:rPr>
              <w:t>β (KAM2)</w:t>
            </w:r>
          </w:p>
        </w:tc>
        <w:tc>
          <w:tcPr>
            <w:tcW w:w="1816" w:type="dxa"/>
            <w:tcBorders>
              <w:top w:val="single" w:sz="4" w:space="0" w:color="auto"/>
              <w:left w:val="nil"/>
              <w:bottom w:val="single" w:sz="4" w:space="0" w:color="auto"/>
              <w:right w:val="nil"/>
            </w:tcBorders>
            <w:shd w:val="clear" w:color="auto" w:fill="FFFFFF"/>
            <w:vAlign w:val="center"/>
          </w:tcPr>
          <w:p w14:paraId="481F1CBC" w14:textId="7A2AF26E" w:rsidR="001D05D2" w:rsidRPr="001D757C" w:rsidRDefault="001D05D2" w:rsidP="00C27AA2">
            <w:pPr>
              <w:spacing w:after="0"/>
              <w:ind w:hanging="2"/>
              <w:jc w:val="right"/>
              <w:rPr>
                <w:rFonts w:ascii="Times New Roman" w:eastAsia="Times New Roman" w:hAnsi="Times New Roman" w:cs="Times New Roman"/>
                <w:b/>
                <w:color w:val="000000"/>
                <w:lang w:val="id-ID"/>
              </w:rPr>
            </w:pPr>
            <w:r w:rsidRPr="001D757C">
              <w:rPr>
                <w:rFonts w:ascii="Times New Roman" w:eastAsia="Times New Roman" w:hAnsi="Times New Roman" w:cs="Times New Roman"/>
                <w:b/>
                <w:lang w:val="id-ID"/>
              </w:rPr>
              <w:t>β (KAM3)</w:t>
            </w:r>
          </w:p>
        </w:tc>
        <w:tc>
          <w:tcPr>
            <w:tcW w:w="1666" w:type="dxa"/>
            <w:tcBorders>
              <w:top w:val="single" w:sz="4" w:space="0" w:color="auto"/>
              <w:left w:val="nil"/>
              <w:bottom w:val="single" w:sz="4" w:space="0" w:color="auto"/>
              <w:right w:val="nil"/>
            </w:tcBorders>
            <w:shd w:val="clear" w:color="auto" w:fill="FFFFFF"/>
            <w:vAlign w:val="center"/>
          </w:tcPr>
          <w:p w14:paraId="6C9E25B2" w14:textId="775F8AAC" w:rsidR="001D05D2" w:rsidRPr="001D757C" w:rsidRDefault="001D05D2" w:rsidP="00C27AA2">
            <w:pPr>
              <w:spacing w:after="0"/>
              <w:ind w:hanging="2"/>
              <w:jc w:val="right"/>
              <w:rPr>
                <w:rFonts w:ascii="Times New Roman" w:eastAsia="Times New Roman" w:hAnsi="Times New Roman" w:cs="Times New Roman"/>
                <w:b/>
                <w:color w:val="000000"/>
                <w:lang w:val="id-ID"/>
              </w:rPr>
            </w:pPr>
            <w:r w:rsidRPr="001D757C">
              <w:rPr>
                <w:rFonts w:ascii="Times New Roman" w:eastAsia="Times New Roman" w:hAnsi="Times New Roman" w:cs="Times New Roman"/>
                <w:b/>
                <w:color w:val="000000"/>
                <w:lang w:val="id-ID"/>
              </w:rPr>
              <w:t>Adjusted R</w:t>
            </w:r>
            <w:r w:rsidRPr="001D757C">
              <w:rPr>
                <w:rFonts w:ascii="Times New Roman" w:eastAsia="Times New Roman" w:hAnsi="Times New Roman" w:cs="Times New Roman"/>
                <w:b/>
                <w:color w:val="000000"/>
                <w:vertAlign w:val="superscript"/>
                <w:lang w:val="id-ID"/>
              </w:rPr>
              <w:t>2</w:t>
            </w:r>
          </w:p>
        </w:tc>
      </w:tr>
      <w:tr w:rsidR="001D05D2" w:rsidRPr="00935C7F" w14:paraId="022886AA" w14:textId="77777777" w:rsidTr="00C27AA2">
        <w:trPr>
          <w:cantSplit/>
          <w:jc w:val="center"/>
        </w:trPr>
        <w:tc>
          <w:tcPr>
            <w:tcW w:w="1350" w:type="dxa"/>
            <w:tcBorders>
              <w:top w:val="single" w:sz="4" w:space="0" w:color="auto"/>
              <w:left w:val="nil"/>
              <w:bottom w:val="nil"/>
              <w:right w:val="nil"/>
            </w:tcBorders>
          </w:tcPr>
          <w:p w14:paraId="5FCC8C9F" w14:textId="1B5F7052" w:rsidR="001D05D2" w:rsidRPr="001D757C" w:rsidRDefault="001D05D2" w:rsidP="00686421">
            <w:pPr>
              <w:spacing w:after="0"/>
              <w:ind w:hanging="2"/>
              <w:jc w:val="both"/>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Model 1</w:t>
            </w:r>
          </w:p>
        </w:tc>
        <w:tc>
          <w:tcPr>
            <w:tcW w:w="1637" w:type="dxa"/>
            <w:tcBorders>
              <w:top w:val="single" w:sz="4" w:space="0" w:color="auto"/>
              <w:left w:val="nil"/>
              <w:bottom w:val="nil"/>
              <w:right w:val="nil"/>
            </w:tcBorders>
            <w:shd w:val="clear" w:color="auto" w:fill="FFFFFF"/>
          </w:tcPr>
          <w:p w14:paraId="453BAB2B" w14:textId="172A3C7A" w:rsidR="001D05D2" w:rsidRPr="001D757C" w:rsidRDefault="001D05D2"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0.000</w:t>
            </w:r>
          </w:p>
        </w:tc>
        <w:tc>
          <w:tcPr>
            <w:tcW w:w="1303" w:type="dxa"/>
            <w:tcBorders>
              <w:top w:val="single" w:sz="4" w:space="0" w:color="auto"/>
              <w:left w:val="nil"/>
              <w:bottom w:val="nil"/>
              <w:right w:val="nil"/>
            </w:tcBorders>
            <w:shd w:val="clear" w:color="auto" w:fill="FFFFFF"/>
          </w:tcPr>
          <w:p w14:paraId="1D2270AE" w14:textId="434E57F4" w:rsidR="001D05D2" w:rsidRPr="001D757C" w:rsidRDefault="001D05D2"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-0.001</w:t>
            </w:r>
            <w:r w:rsidRPr="001D757C">
              <w:rPr>
                <w:rFonts w:ascii="Times New Roman" w:eastAsia="Times New Roman" w:hAnsi="Times New Roman" w:cs="Times New Roman"/>
                <w:color w:val="000000"/>
                <w:vertAlign w:val="superscript"/>
                <w:lang w:val="id-ID"/>
              </w:rPr>
              <w:t>**</w:t>
            </w:r>
          </w:p>
        </w:tc>
        <w:tc>
          <w:tcPr>
            <w:tcW w:w="1816" w:type="dxa"/>
            <w:tcBorders>
              <w:top w:val="single" w:sz="4" w:space="0" w:color="auto"/>
              <w:left w:val="nil"/>
              <w:bottom w:val="nil"/>
              <w:right w:val="nil"/>
            </w:tcBorders>
            <w:shd w:val="clear" w:color="auto" w:fill="FFFFFF"/>
          </w:tcPr>
          <w:p w14:paraId="4D4997CE" w14:textId="7D56D40B" w:rsidR="001D05D2" w:rsidRPr="001D757C" w:rsidRDefault="001D05D2"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0.000</w:t>
            </w:r>
          </w:p>
        </w:tc>
        <w:tc>
          <w:tcPr>
            <w:tcW w:w="1666" w:type="dxa"/>
            <w:tcBorders>
              <w:top w:val="single" w:sz="4" w:space="0" w:color="auto"/>
              <w:left w:val="nil"/>
              <w:bottom w:val="nil"/>
              <w:right w:val="nil"/>
            </w:tcBorders>
            <w:shd w:val="clear" w:color="auto" w:fill="FFFFFF"/>
          </w:tcPr>
          <w:p w14:paraId="1B519673" w14:textId="4046C07E" w:rsidR="001D05D2" w:rsidRPr="001D757C" w:rsidRDefault="001D05D2"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0.125</w:t>
            </w:r>
          </w:p>
        </w:tc>
      </w:tr>
      <w:tr w:rsidR="001D05D2" w:rsidRPr="00935C7F" w14:paraId="3578077C" w14:textId="77777777" w:rsidTr="00C27AA2">
        <w:trPr>
          <w:cantSplit/>
          <w:jc w:val="center"/>
        </w:trPr>
        <w:tc>
          <w:tcPr>
            <w:tcW w:w="1350" w:type="dxa"/>
            <w:tcBorders>
              <w:top w:val="nil"/>
              <w:left w:val="nil"/>
              <w:bottom w:val="nil"/>
              <w:right w:val="nil"/>
            </w:tcBorders>
          </w:tcPr>
          <w:p w14:paraId="67C2DD7B" w14:textId="59261BE2" w:rsidR="001D05D2" w:rsidRPr="001D757C" w:rsidRDefault="001D05D2" w:rsidP="00686421">
            <w:pPr>
              <w:spacing w:after="0"/>
              <w:ind w:hanging="2"/>
              <w:jc w:val="both"/>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Model 2</w:t>
            </w:r>
          </w:p>
        </w:tc>
        <w:tc>
          <w:tcPr>
            <w:tcW w:w="1637" w:type="dxa"/>
            <w:tcBorders>
              <w:top w:val="nil"/>
              <w:left w:val="nil"/>
              <w:bottom w:val="nil"/>
              <w:right w:val="nil"/>
            </w:tcBorders>
            <w:shd w:val="clear" w:color="auto" w:fill="FFFFFF"/>
          </w:tcPr>
          <w:p w14:paraId="39B79A98" w14:textId="7923BA23" w:rsidR="001D05D2" w:rsidRPr="001D757C" w:rsidRDefault="001D05D2"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0.000</w:t>
            </w:r>
          </w:p>
        </w:tc>
        <w:tc>
          <w:tcPr>
            <w:tcW w:w="1303" w:type="dxa"/>
            <w:tcBorders>
              <w:top w:val="nil"/>
              <w:left w:val="nil"/>
              <w:bottom w:val="nil"/>
              <w:right w:val="nil"/>
            </w:tcBorders>
            <w:shd w:val="clear" w:color="auto" w:fill="FFFFFF"/>
          </w:tcPr>
          <w:p w14:paraId="53B27AB5" w14:textId="3C30D090" w:rsidR="001D05D2" w:rsidRPr="001D757C" w:rsidRDefault="001D05D2"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-0.001</w:t>
            </w:r>
            <w:r w:rsidRPr="001D757C">
              <w:rPr>
                <w:rFonts w:ascii="Times New Roman" w:eastAsia="Times New Roman" w:hAnsi="Times New Roman" w:cs="Times New Roman"/>
                <w:color w:val="000000"/>
                <w:vertAlign w:val="superscript"/>
                <w:lang w:val="id-ID"/>
              </w:rPr>
              <w:t>**</w:t>
            </w:r>
          </w:p>
        </w:tc>
        <w:tc>
          <w:tcPr>
            <w:tcW w:w="1816" w:type="dxa"/>
            <w:tcBorders>
              <w:top w:val="nil"/>
              <w:left w:val="nil"/>
              <w:bottom w:val="nil"/>
              <w:right w:val="nil"/>
            </w:tcBorders>
            <w:shd w:val="clear" w:color="auto" w:fill="FFFFFF"/>
          </w:tcPr>
          <w:p w14:paraId="011A4228" w14:textId="0F2D5344" w:rsidR="001D05D2" w:rsidRPr="001D757C" w:rsidRDefault="001D05D2"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0.000</w:t>
            </w:r>
          </w:p>
        </w:tc>
        <w:tc>
          <w:tcPr>
            <w:tcW w:w="1666" w:type="dxa"/>
            <w:tcBorders>
              <w:top w:val="nil"/>
              <w:left w:val="nil"/>
              <w:bottom w:val="nil"/>
              <w:right w:val="nil"/>
            </w:tcBorders>
            <w:shd w:val="clear" w:color="auto" w:fill="FFFFFF"/>
          </w:tcPr>
          <w:p w14:paraId="6768A82F" w14:textId="10414E8D" w:rsidR="001D05D2" w:rsidRPr="001D757C" w:rsidRDefault="001D05D2"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0.121</w:t>
            </w:r>
          </w:p>
        </w:tc>
      </w:tr>
      <w:tr w:rsidR="001D05D2" w:rsidRPr="00935C7F" w14:paraId="4FCC8888" w14:textId="77777777" w:rsidTr="00C27AA2">
        <w:trPr>
          <w:cantSplit/>
          <w:jc w:val="center"/>
        </w:trPr>
        <w:tc>
          <w:tcPr>
            <w:tcW w:w="1350" w:type="dxa"/>
            <w:tcBorders>
              <w:top w:val="nil"/>
              <w:left w:val="nil"/>
              <w:bottom w:val="nil"/>
              <w:right w:val="nil"/>
            </w:tcBorders>
          </w:tcPr>
          <w:p w14:paraId="58C3F983" w14:textId="77896667" w:rsidR="001D05D2" w:rsidRPr="001D757C" w:rsidRDefault="001D05D2" w:rsidP="00686421">
            <w:pPr>
              <w:spacing w:after="0"/>
              <w:ind w:hanging="2"/>
              <w:jc w:val="both"/>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Model 3</w:t>
            </w:r>
          </w:p>
        </w:tc>
        <w:tc>
          <w:tcPr>
            <w:tcW w:w="1637" w:type="dxa"/>
            <w:tcBorders>
              <w:top w:val="nil"/>
              <w:left w:val="nil"/>
              <w:bottom w:val="nil"/>
              <w:right w:val="nil"/>
            </w:tcBorders>
            <w:shd w:val="clear" w:color="auto" w:fill="FFFFFF"/>
          </w:tcPr>
          <w:p w14:paraId="7147EBC8" w14:textId="7BAF6B88" w:rsidR="001D05D2" w:rsidRPr="001D757C" w:rsidRDefault="00DE1456"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-0.000</w:t>
            </w:r>
          </w:p>
        </w:tc>
        <w:tc>
          <w:tcPr>
            <w:tcW w:w="1303" w:type="dxa"/>
            <w:tcBorders>
              <w:top w:val="nil"/>
              <w:left w:val="nil"/>
              <w:bottom w:val="nil"/>
              <w:right w:val="nil"/>
            </w:tcBorders>
            <w:shd w:val="clear" w:color="auto" w:fill="FFFFFF"/>
          </w:tcPr>
          <w:p w14:paraId="6F2D45A6" w14:textId="78DF0262" w:rsidR="001D05D2" w:rsidRPr="001D757C" w:rsidRDefault="00DE1456"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-0.001</w:t>
            </w:r>
            <w:r w:rsidRPr="001D757C">
              <w:rPr>
                <w:rFonts w:ascii="Times New Roman" w:eastAsia="Times New Roman" w:hAnsi="Times New Roman" w:cs="Times New Roman"/>
                <w:color w:val="000000"/>
                <w:vertAlign w:val="superscript"/>
                <w:lang w:val="id-ID"/>
              </w:rPr>
              <w:t>**</w:t>
            </w:r>
          </w:p>
        </w:tc>
        <w:tc>
          <w:tcPr>
            <w:tcW w:w="1816" w:type="dxa"/>
            <w:tcBorders>
              <w:top w:val="nil"/>
              <w:left w:val="nil"/>
              <w:bottom w:val="nil"/>
              <w:right w:val="nil"/>
            </w:tcBorders>
            <w:shd w:val="clear" w:color="auto" w:fill="FFFFFF"/>
          </w:tcPr>
          <w:p w14:paraId="36D5E405" w14:textId="4BD5A14E" w:rsidR="001D05D2" w:rsidRPr="001D757C" w:rsidRDefault="00DE1456"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0.000</w:t>
            </w:r>
          </w:p>
        </w:tc>
        <w:tc>
          <w:tcPr>
            <w:tcW w:w="1666" w:type="dxa"/>
            <w:tcBorders>
              <w:top w:val="nil"/>
              <w:left w:val="nil"/>
              <w:bottom w:val="nil"/>
              <w:right w:val="nil"/>
            </w:tcBorders>
            <w:shd w:val="clear" w:color="auto" w:fill="FFFFFF"/>
          </w:tcPr>
          <w:p w14:paraId="46997140" w14:textId="07A4FBFB" w:rsidR="001D05D2" w:rsidRPr="001D757C" w:rsidRDefault="00DE1456"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0.008</w:t>
            </w:r>
          </w:p>
        </w:tc>
      </w:tr>
      <w:tr w:rsidR="001D05D2" w:rsidRPr="00935C7F" w14:paraId="5C33CDE5" w14:textId="77777777" w:rsidTr="00C27AA2">
        <w:trPr>
          <w:cantSplit/>
          <w:jc w:val="center"/>
        </w:trPr>
        <w:tc>
          <w:tcPr>
            <w:tcW w:w="1350" w:type="dxa"/>
            <w:tcBorders>
              <w:top w:val="nil"/>
              <w:left w:val="nil"/>
              <w:bottom w:val="single" w:sz="4" w:space="0" w:color="auto"/>
              <w:right w:val="nil"/>
            </w:tcBorders>
          </w:tcPr>
          <w:p w14:paraId="749EA99C" w14:textId="05ADA534" w:rsidR="001D05D2" w:rsidRPr="001D757C" w:rsidRDefault="001D05D2" w:rsidP="00686421">
            <w:pPr>
              <w:spacing w:after="0"/>
              <w:ind w:hanging="2"/>
              <w:jc w:val="both"/>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Model 4</w:t>
            </w:r>
          </w:p>
        </w:tc>
        <w:tc>
          <w:tcPr>
            <w:tcW w:w="1637" w:type="dxa"/>
            <w:tcBorders>
              <w:top w:val="nil"/>
              <w:left w:val="nil"/>
              <w:bottom w:val="single" w:sz="4" w:space="0" w:color="auto"/>
              <w:right w:val="nil"/>
            </w:tcBorders>
            <w:shd w:val="clear" w:color="auto" w:fill="FFFFFF"/>
          </w:tcPr>
          <w:p w14:paraId="05DDCE92" w14:textId="4B1047FA" w:rsidR="001D05D2" w:rsidRPr="001D757C" w:rsidRDefault="00DE1456"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0.003</w:t>
            </w:r>
          </w:p>
        </w:tc>
        <w:tc>
          <w:tcPr>
            <w:tcW w:w="1303" w:type="dxa"/>
            <w:tcBorders>
              <w:top w:val="nil"/>
              <w:left w:val="nil"/>
              <w:bottom w:val="single" w:sz="4" w:space="0" w:color="auto"/>
              <w:right w:val="nil"/>
            </w:tcBorders>
            <w:shd w:val="clear" w:color="auto" w:fill="FFFFFF"/>
          </w:tcPr>
          <w:p w14:paraId="294A651F" w14:textId="7E6E7F25" w:rsidR="001D05D2" w:rsidRPr="001D757C" w:rsidRDefault="00DE1456"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-0.003</w:t>
            </w:r>
            <w:r w:rsidRPr="001D757C">
              <w:rPr>
                <w:rFonts w:ascii="Times New Roman" w:eastAsia="Times New Roman" w:hAnsi="Times New Roman" w:cs="Times New Roman"/>
                <w:color w:val="000000"/>
                <w:vertAlign w:val="superscript"/>
                <w:lang w:val="id-ID"/>
              </w:rPr>
              <w:t>**</w:t>
            </w:r>
          </w:p>
        </w:tc>
        <w:tc>
          <w:tcPr>
            <w:tcW w:w="1816" w:type="dxa"/>
            <w:tcBorders>
              <w:top w:val="nil"/>
              <w:left w:val="nil"/>
              <w:bottom w:val="single" w:sz="4" w:space="0" w:color="auto"/>
              <w:right w:val="nil"/>
            </w:tcBorders>
            <w:shd w:val="clear" w:color="auto" w:fill="FFFFFF"/>
          </w:tcPr>
          <w:p w14:paraId="261624F0" w14:textId="02AE5AF8" w:rsidR="001D05D2" w:rsidRPr="001D757C" w:rsidRDefault="00DE1456"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0.001</w:t>
            </w:r>
          </w:p>
        </w:tc>
        <w:tc>
          <w:tcPr>
            <w:tcW w:w="1666" w:type="dxa"/>
            <w:tcBorders>
              <w:top w:val="nil"/>
              <w:left w:val="nil"/>
              <w:bottom w:val="single" w:sz="4" w:space="0" w:color="auto"/>
              <w:right w:val="nil"/>
            </w:tcBorders>
            <w:shd w:val="clear" w:color="auto" w:fill="FFFFFF"/>
          </w:tcPr>
          <w:p w14:paraId="3A93DA63" w14:textId="6E641B33" w:rsidR="001D05D2" w:rsidRPr="001D757C" w:rsidRDefault="00DE1456" w:rsidP="00C27AA2">
            <w:pPr>
              <w:spacing w:after="0"/>
              <w:ind w:hanging="2"/>
              <w:jc w:val="right"/>
              <w:rPr>
                <w:rFonts w:ascii="Times New Roman" w:eastAsia="Times New Roman" w:hAnsi="Times New Roman" w:cs="Times New Roman"/>
                <w:color w:val="000000"/>
                <w:lang w:val="id-ID"/>
              </w:rPr>
            </w:pPr>
            <w:r w:rsidRPr="001D757C">
              <w:rPr>
                <w:rFonts w:ascii="Times New Roman" w:eastAsia="Times New Roman" w:hAnsi="Times New Roman" w:cs="Times New Roman"/>
                <w:color w:val="000000"/>
                <w:lang w:val="id-ID"/>
              </w:rPr>
              <w:t>0.002</w:t>
            </w:r>
          </w:p>
        </w:tc>
      </w:tr>
    </w:tbl>
    <w:p w14:paraId="6AEF78E7" w14:textId="77777777" w:rsidR="001D05D2" w:rsidRPr="00935C7F" w:rsidRDefault="001D05D2" w:rsidP="00686421">
      <w:pPr>
        <w:spacing w:after="0"/>
        <w:ind w:firstLine="720"/>
        <w:jc w:val="both"/>
        <w:rPr>
          <w:rFonts w:ascii="Times New Roman" w:eastAsia="Times New Roman" w:hAnsi="Times New Roman" w:cs="Times New Roman"/>
          <w:sz w:val="24"/>
          <w:szCs w:val="24"/>
          <w:lang w:val="id-ID"/>
        </w:rPr>
      </w:pPr>
    </w:p>
    <w:p w14:paraId="0F837D92" w14:textId="490150A2" w:rsidR="005937A6" w:rsidRPr="00935C7F" w:rsidRDefault="005937A6" w:rsidP="00686421">
      <w:pPr>
        <w:spacing w:after="0"/>
        <w:ind w:firstLine="426"/>
        <w:jc w:val="both"/>
        <w:rPr>
          <w:rFonts w:ascii="Times New Roman" w:eastAsia="Times New Roman" w:hAnsi="Times New Roman" w:cs="Times New Roman"/>
          <w:sz w:val="24"/>
          <w:szCs w:val="24"/>
          <w:lang w:val="id-ID"/>
        </w:rPr>
      </w:pPr>
      <w:r w:rsidRPr="00935C7F">
        <w:rPr>
          <w:rFonts w:ascii="Times New Roman" w:eastAsia="Times New Roman" w:hAnsi="Times New Roman" w:cs="Times New Roman"/>
          <w:sz w:val="24"/>
          <w:szCs w:val="24"/>
          <w:lang w:val="id-ID"/>
        </w:rPr>
        <w:t xml:space="preserve">In summary, while KAM2 (the number of paragraphs dedicated to </w:t>
      </w:r>
      <w:r w:rsidR="00BE4252" w:rsidRPr="00935C7F">
        <w:rPr>
          <w:rFonts w:ascii="Times New Roman" w:eastAsia="Times New Roman" w:hAnsi="Times New Roman" w:cs="Times New Roman"/>
          <w:sz w:val="24"/>
          <w:szCs w:val="24"/>
          <w:lang w:val="id-ID"/>
        </w:rPr>
        <w:t>KAM</w:t>
      </w:r>
      <w:r w:rsidRPr="00935C7F">
        <w:rPr>
          <w:rFonts w:ascii="Times New Roman" w:eastAsia="Times New Roman" w:hAnsi="Times New Roman" w:cs="Times New Roman"/>
          <w:sz w:val="24"/>
          <w:szCs w:val="24"/>
          <w:lang w:val="id-ID"/>
        </w:rPr>
        <w:t>) has a statistically significant negative impact on investment risk, both KAM1 (</w:t>
      </w:r>
      <w:r w:rsidR="008508E5">
        <w:rPr>
          <w:rFonts w:ascii="Times New Roman" w:eastAsia="Times New Roman" w:hAnsi="Times New Roman" w:cs="Times New Roman"/>
          <w:sz w:val="24"/>
          <w:szCs w:val="24"/>
          <w:lang w:val="id-ID"/>
        </w:rPr>
        <w:t xml:space="preserve">the </w:t>
      </w:r>
      <w:r w:rsidRPr="00935C7F">
        <w:rPr>
          <w:rFonts w:ascii="Times New Roman" w:eastAsia="Times New Roman" w:hAnsi="Times New Roman" w:cs="Times New Roman"/>
          <w:sz w:val="24"/>
          <w:szCs w:val="24"/>
          <w:lang w:val="id-ID"/>
        </w:rPr>
        <w:t xml:space="preserve">number of KAM disclosures) and KAM3 (monetary information in </w:t>
      </w:r>
      <w:r w:rsidR="00BE4252" w:rsidRPr="00935C7F">
        <w:rPr>
          <w:rFonts w:ascii="Times New Roman" w:eastAsia="Times New Roman" w:hAnsi="Times New Roman" w:cs="Times New Roman"/>
          <w:sz w:val="24"/>
          <w:szCs w:val="24"/>
          <w:lang w:val="id-ID"/>
        </w:rPr>
        <w:t>KAM</w:t>
      </w:r>
      <w:r w:rsidRPr="00935C7F">
        <w:rPr>
          <w:rFonts w:ascii="Times New Roman" w:eastAsia="Times New Roman" w:hAnsi="Times New Roman" w:cs="Times New Roman"/>
          <w:sz w:val="24"/>
          <w:szCs w:val="24"/>
          <w:lang w:val="id-ID"/>
        </w:rPr>
        <w:t xml:space="preserve">) do not show a meaningful effect. These findings suggest that the level of detail and context in which </w:t>
      </w:r>
      <w:r w:rsidR="00BE4252" w:rsidRPr="00935C7F">
        <w:rPr>
          <w:rFonts w:ascii="Times New Roman" w:eastAsia="Times New Roman" w:hAnsi="Times New Roman" w:cs="Times New Roman"/>
          <w:sz w:val="24"/>
          <w:szCs w:val="24"/>
          <w:lang w:val="id-ID"/>
        </w:rPr>
        <w:t>KAM</w:t>
      </w:r>
      <w:r w:rsidRPr="00935C7F">
        <w:rPr>
          <w:rFonts w:ascii="Times New Roman" w:eastAsia="Times New Roman" w:hAnsi="Times New Roman" w:cs="Times New Roman"/>
          <w:sz w:val="24"/>
          <w:szCs w:val="24"/>
          <w:lang w:val="id-ID"/>
        </w:rPr>
        <w:t xml:space="preserve"> are presented (such as the number of paragraphs) plays a more crucial role in influencing investment risk perceptions than the simple presence of </w:t>
      </w:r>
      <w:r w:rsidR="00BE4252" w:rsidRPr="00935C7F">
        <w:rPr>
          <w:rFonts w:ascii="Times New Roman" w:eastAsia="Times New Roman" w:hAnsi="Times New Roman" w:cs="Times New Roman"/>
          <w:sz w:val="24"/>
          <w:szCs w:val="24"/>
          <w:lang w:val="id-ID"/>
        </w:rPr>
        <w:t>KAM</w:t>
      </w:r>
      <w:r w:rsidRPr="00935C7F">
        <w:rPr>
          <w:rFonts w:ascii="Times New Roman" w:eastAsia="Times New Roman" w:hAnsi="Times New Roman" w:cs="Times New Roman"/>
          <w:sz w:val="24"/>
          <w:szCs w:val="24"/>
          <w:lang w:val="id-ID"/>
        </w:rPr>
        <w:t xml:space="preserve"> or financial figures disclosed within them.</w:t>
      </w:r>
    </w:p>
    <w:p w14:paraId="62BFF186" w14:textId="58F789A9" w:rsidR="005937A6" w:rsidRPr="00935C7F" w:rsidRDefault="005937A6" w:rsidP="00686421">
      <w:pPr>
        <w:spacing w:after="0"/>
        <w:ind w:firstLine="426"/>
        <w:jc w:val="both"/>
        <w:rPr>
          <w:rFonts w:ascii="Times New Roman" w:eastAsia="Times New Roman" w:hAnsi="Times New Roman" w:cs="Times New Roman"/>
          <w:color w:val="FF0000"/>
          <w:sz w:val="24"/>
          <w:szCs w:val="24"/>
          <w:lang w:val="id-ID"/>
        </w:rPr>
      </w:pPr>
      <w:r w:rsidRPr="00935C7F">
        <w:rPr>
          <w:rFonts w:ascii="Times New Roman" w:eastAsia="Times New Roman" w:hAnsi="Times New Roman" w:cs="Times New Roman"/>
          <w:color w:val="000000"/>
          <w:sz w:val="24"/>
          <w:szCs w:val="24"/>
          <w:lang w:val="id-ID"/>
        </w:rPr>
        <w:t xml:space="preserve">The results show that KAM2 (the number of paragraphs dedicated to </w:t>
      </w:r>
      <w:r w:rsidR="00BE4252" w:rsidRPr="00935C7F">
        <w:rPr>
          <w:rFonts w:ascii="Times New Roman" w:eastAsia="Times New Roman" w:hAnsi="Times New Roman" w:cs="Times New Roman"/>
          <w:color w:val="000000"/>
          <w:sz w:val="24"/>
          <w:szCs w:val="24"/>
          <w:lang w:val="id-ID"/>
        </w:rPr>
        <w:t>KAM</w:t>
      </w:r>
      <w:r w:rsidRPr="00935C7F">
        <w:rPr>
          <w:rFonts w:ascii="Times New Roman" w:eastAsia="Times New Roman" w:hAnsi="Times New Roman" w:cs="Times New Roman"/>
          <w:color w:val="000000"/>
          <w:sz w:val="24"/>
          <w:szCs w:val="24"/>
          <w:lang w:val="id-ID"/>
        </w:rPr>
        <w:t xml:space="preserve"> in the audit report) has a statistically significant negative impact on investment risk (RISK) at the 5% significance level. Specifically, the coefficient for KAM2 is -0.001, and it is significant at the 0.019 level. This suggests that an increase in the detailed disclosure of </w:t>
      </w:r>
      <w:r w:rsidR="00BE4252" w:rsidRPr="00935C7F">
        <w:rPr>
          <w:rFonts w:ascii="Times New Roman" w:eastAsia="Times New Roman" w:hAnsi="Times New Roman" w:cs="Times New Roman"/>
          <w:color w:val="000000"/>
          <w:sz w:val="24"/>
          <w:szCs w:val="24"/>
          <w:lang w:val="id-ID"/>
        </w:rPr>
        <w:t>KAM</w:t>
      </w:r>
      <w:r w:rsidRPr="00935C7F">
        <w:rPr>
          <w:rFonts w:ascii="Times New Roman" w:eastAsia="Times New Roman" w:hAnsi="Times New Roman" w:cs="Times New Roman"/>
          <w:color w:val="000000"/>
          <w:sz w:val="24"/>
          <w:szCs w:val="24"/>
          <w:lang w:val="id-ID"/>
        </w:rPr>
        <w:t xml:space="preserve"> in the audit report is associated with a reduction in investment risk. </w:t>
      </w:r>
      <w:r w:rsidRPr="00935C7F">
        <w:rPr>
          <w:rFonts w:ascii="Times New Roman" w:eastAsia="Times New Roman" w:hAnsi="Times New Roman" w:cs="Times New Roman"/>
          <w:color w:val="000000"/>
          <w:sz w:val="24"/>
          <w:szCs w:val="24"/>
        </w:rPr>
        <w:t xml:space="preserve">The findings of this study align with prior research emphasizing the importance of KAM disclosures in reducing investment risk. </w:t>
      </w:r>
      <w:hyperlink w:anchor="Matta" w:history="1">
        <w:r w:rsidRPr="00935C7F">
          <w:rPr>
            <w:rStyle w:val="Hyperlink"/>
            <w:rFonts w:ascii="Times New Roman" w:eastAsia="Times New Roman" w:hAnsi="Times New Roman" w:cs="Times New Roman"/>
            <w:sz w:val="24"/>
            <w:szCs w:val="24"/>
            <w:u w:val="none"/>
          </w:rPr>
          <w:fldChar w:fldCharType="begin"/>
        </w:r>
        <w:r w:rsidRPr="00935C7F">
          <w:rPr>
            <w:rStyle w:val="Hyperlink"/>
            <w:rFonts w:ascii="Times New Roman" w:eastAsia="Times New Roman" w:hAnsi="Times New Roman" w:cs="Times New Roman"/>
            <w:sz w:val="24"/>
            <w:szCs w:val="24"/>
            <w:u w:val="none"/>
          </w:rPr>
          <w:instrText xml:space="preserve"> ADDIN ZOTERO_ITEM CSL_CITATION {"citationID":"a1j0hftovvp","properties":{"formattedCitation":"\\uldash{(Matta &amp; Feghali, 2021)}","plainCitation":"(Matta &amp; Feghali, 2021)","dontUpdate":true,"noteIndex":0},"citationItems":[{"id":647,"uris":["http://zotero.org/users/10852507/items/RYRVMVN7"],"itemData":{"id":647,"type":"article-journal","container-title":"Indonesian Management and Accounting Research","DOI":"10.25105/imar.v19i2.7328","issue":"2","journalAbbreviation":"Indonesian Management and Accounting Research","page":"135-162","title":"The Impact of Key Audit Matters (KAMs) on Financial Information Quality: Evidence From Lebanon","volume":"19","author":[{"family":"Matta","given":"Joëlle"},{"family":"Feghali","given":"Khalil"}],"issued":{"date-parts":[["2021"]]}}}],"schema":"https://github.com/citation-style-language/schema/raw/master/csl-citation.json"} </w:instrText>
        </w:r>
        <w:r w:rsidRPr="00935C7F">
          <w:rPr>
            <w:rStyle w:val="Hyperlink"/>
            <w:rFonts w:ascii="Times New Roman" w:eastAsia="Times New Roman" w:hAnsi="Times New Roman" w:cs="Times New Roman"/>
            <w:sz w:val="24"/>
            <w:szCs w:val="24"/>
            <w:u w:val="none"/>
          </w:rPr>
          <w:fldChar w:fldCharType="separate"/>
        </w:r>
        <w:r w:rsidRPr="00935C7F">
          <w:rPr>
            <w:rStyle w:val="Hyperlink"/>
            <w:rFonts w:ascii="Times New Roman" w:hAnsi="Times New Roman" w:cs="Times New Roman"/>
            <w:sz w:val="24"/>
            <w:u w:val="none"/>
          </w:rPr>
          <w:t>Matta &amp; Feghali (2021)</w:t>
        </w:r>
        <w:r w:rsidRPr="00935C7F">
          <w:rPr>
            <w:rStyle w:val="Hyperlink"/>
            <w:rFonts w:ascii="Times New Roman" w:eastAsia="Times New Roman" w:hAnsi="Times New Roman" w:cs="Times New Roman"/>
            <w:sz w:val="24"/>
            <w:szCs w:val="24"/>
            <w:u w:val="none"/>
          </w:rPr>
          <w:fldChar w:fldCharType="end"/>
        </w:r>
      </w:hyperlink>
      <w:r w:rsidRPr="00935C7F">
        <w:rPr>
          <w:rFonts w:ascii="Times New Roman" w:eastAsia="Times New Roman" w:hAnsi="Times New Roman" w:cs="Times New Roman"/>
          <w:color w:val="000000"/>
          <w:sz w:val="24"/>
          <w:szCs w:val="24"/>
        </w:rPr>
        <w:t xml:space="preserve"> demonstrated that KAM disclosures enhance the understanding of audited financial statements, helping investors make more informed decisions and thereby reducing the audit expectation gap. Similarly, </w:t>
      </w:r>
      <w:hyperlink w:anchor="Almulla" w:history="1">
        <w:r w:rsidRPr="00935C7F">
          <w:rPr>
            <w:rStyle w:val="Hyperlink"/>
            <w:rFonts w:ascii="Times New Roman" w:eastAsia="Times New Roman" w:hAnsi="Times New Roman" w:cs="Times New Roman"/>
            <w:sz w:val="24"/>
            <w:szCs w:val="24"/>
            <w:u w:val="none"/>
          </w:rPr>
          <w:fldChar w:fldCharType="begin"/>
        </w:r>
        <w:r w:rsidRPr="00935C7F">
          <w:rPr>
            <w:rStyle w:val="Hyperlink"/>
            <w:rFonts w:ascii="Times New Roman" w:eastAsia="Times New Roman" w:hAnsi="Times New Roman" w:cs="Times New Roman"/>
            <w:sz w:val="24"/>
            <w:szCs w:val="24"/>
            <w:u w:val="none"/>
          </w:rPr>
          <w:instrText xml:space="preserve"> ADDIN ZOTERO_ITEM CSL_CITATION {"citationID":"a1br3ppalkl","properties":{"formattedCitation":"\\uldash{(Al\\uc0\\u8208{}mulla &amp; Bradbury, 2021)}","plainCitation":"(Al‐mulla &amp; Bradbury, 2021)","dontUpdate":true,"noteIndex":0},"citationItems":[{"id":713,"uris":["http://zotero.org/users/10852507/items/X85XEAMC"],"itemData":{"id":713,"type":"article-journal","container-title":"International Journal of Auditing","DOI":"10.1111/ijau.12255","issue":"2","journalAbbreviation":"International Journal of Auditing","page":"134-150","title":"Auditor, Client and Investor Consequences of the Enhanced Auditor's Report","volume":"26","author":[{"family":"Al‐mulla","given":"Mazen"},{"family":"Bradbury","given":"Michael E."}],"issued":{"date-parts":[["2021"]]}}}],"schema":"https://github.com/citation-style-language/schema/raw/master/csl-citation.json"} </w:instrText>
        </w:r>
        <w:r w:rsidRPr="00935C7F">
          <w:rPr>
            <w:rStyle w:val="Hyperlink"/>
            <w:rFonts w:ascii="Times New Roman" w:eastAsia="Times New Roman" w:hAnsi="Times New Roman" w:cs="Times New Roman"/>
            <w:sz w:val="24"/>
            <w:szCs w:val="24"/>
            <w:u w:val="none"/>
          </w:rPr>
          <w:fldChar w:fldCharType="separate"/>
        </w:r>
        <w:r w:rsidRPr="00935C7F">
          <w:rPr>
            <w:rStyle w:val="Hyperlink"/>
            <w:rFonts w:ascii="Times New Roman" w:hAnsi="Times New Roman" w:cs="Times New Roman"/>
            <w:sz w:val="24"/>
            <w:u w:val="none"/>
          </w:rPr>
          <w:t>Al‐mulla &amp; Bradbury (2021)</w:t>
        </w:r>
        <w:r w:rsidRPr="00935C7F">
          <w:rPr>
            <w:rStyle w:val="Hyperlink"/>
            <w:rFonts w:ascii="Times New Roman" w:eastAsia="Times New Roman" w:hAnsi="Times New Roman" w:cs="Times New Roman"/>
            <w:sz w:val="24"/>
            <w:szCs w:val="24"/>
            <w:u w:val="none"/>
          </w:rPr>
          <w:fldChar w:fldCharType="end"/>
        </w:r>
      </w:hyperlink>
      <w:r w:rsidRPr="00935C7F">
        <w:rPr>
          <w:rFonts w:ascii="Times New Roman" w:eastAsia="Times New Roman" w:hAnsi="Times New Roman" w:cs="Times New Roman"/>
          <w:color w:val="000000"/>
          <w:sz w:val="24"/>
          <w:szCs w:val="24"/>
        </w:rPr>
        <w:t xml:space="preserve"> highlighted the value relevance of </w:t>
      </w:r>
      <w:r w:rsidR="00BE4252" w:rsidRPr="00935C7F">
        <w:rPr>
          <w:rFonts w:ascii="Times New Roman" w:eastAsia="Times New Roman" w:hAnsi="Times New Roman" w:cs="Times New Roman"/>
          <w:color w:val="000000"/>
          <w:sz w:val="24"/>
          <w:szCs w:val="24"/>
        </w:rPr>
        <w:t>KAM</w:t>
      </w:r>
      <w:r w:rsidRPr="00935C7F">
        <w:rPr>
          <w:rFonts w:ascii="Times New Roman" w:eastAsia="Times New Roman" w:hAnsi="Times New Roman" w:cs="Times New Roman"/>
          <w:color w:val="000000"/>
          <w:sz w:val="24"/>
          <w:szCs w:val="24"/>
        </w:rPr>
        <w:t xml:space="preserve">, revealing that the detailed disclosure of financial reporting risks aids investors in assessing the underlying uncertainties, thus </w:t>
      </w:r>
      <w:r w:rsidRPr="00935C7F">
        <w:rPr>
          <w:rFonts w:ascii="Times New Roman" w:eastAsia="Times New Roman" w:hAnsi="Times New Roman" w:cs="Times New Roman"/>
          <w:color w:val="000000"/>
          <w:sz w:val="24"/>
          <w:szCs w:val="24"/>
        </w:rPr>
        <w:lastRenderedPageBreak/>
        <w:t xml:space="preserve">lowering perceived investment risk. </w:t>
      </w:r>
      <w:hyperlink w:anchor="Gold" w:history="1">
        <w:r w:rsidRPr="00935C7F">
          <w:rPr>
            <w:rStyle w:val="Hyperlink"/>
            <w:rFonts w:ascii="Times New Roman" w:eastAsia="Times New Roman" w:hAnsi="Times New Roman" w:cs="Times New Roman"/>
            <w:sz w:val="24"/>
            <w:szCs w:val="24"/>
            <w:u w:val="none"/>
          </w:rPr>
          <w:fldChar w:fldCharType="begin"/>
        </w:r>
        <w:r w:rsidRPr="00935C7F">
          <w:rPr>
            <w:rStyle w:val="Hyperlink"/>
            <w:rFonts w:ascii="Times New Roman" w:eastAsia="Times New Roman" w:hAnsi="Times New Roman" w:cs="Times New Roman"/>
            <w:sz w:val="24"/>
            <w:szCs w:val="24"/>
            <w:u w:val="none"/>
          </w:rPr>
          <w:instrText xml:space="preserve"> ADDIN ZOTERO_ITEM CSL_CITATION {"citationID":"a1e17pl9d8o","properties":{"formattedCitation":"\\uldash{(Gold &amp; Heilmann, 2019)}","plainCitation":"(Gold &amp; Heilmann, 2019)","dontUpdate":true,"noteIndex":0},"citationItems":[{"id":649,"uris":["http://zotero.org/users/10852507/items/NFA2MC62"],"itemData":{"id":649,"type":"article-journal","container-title":"Maandblad Voor Accountancy en Bedrijfseconomie","DOI":"10.5117/mab.93.29496","issue":"1/2","journalAbbreviation":"Maandblad Voor Accountancy en Bedrijfseconomie","page":"5-14","title":"The Consequences of Disclosing Key Audit Matters (KAMs): A Review of the Academic Literature","volume":"93","author":[{"family":"Gold","given":"Anna"},{"family":"Heilmann","given":"Melina"}],"issued":{"date-parts":[["2019"]]}}}],"schema":"https://github.com/citation-style-language/schema/raw/master/csl-citation.json"} </w:instrText>
        </w:r>
        <w:r w:rsidRPr="00935C7F">
          <w:rPr>
            <w:rStyle w:val="Hyperlink"/>
            <w:rFonts w:ascii="Times New Roman" w:eastAsia="Times New Roman" w:hAnsi="Times New Roman" w:cs="Times New Roman"/>
            <w:sz w:val="24"/>
            <w:szCs w:val="24"/>
            <w:u w:val="none"/>
          </w:rPr>
          <w:fldChar w:fldCharType="separate"/>
        </w:r>
        <w:r w:rsidRPr="00935C7F">
          <w:rPr>
            <w:rStyle w:val="Hyperlink"/>
            <w:rFonts w:ascii="Times New Roman" w:hAnsi="Times New Roman" w:cs="Times New Roman"/>
            <w:sz w:val="24"/>
            <w:u w:val="none"/>
          </w:rPr>
          <w:t>Gold &amp; Heilmann (2019)</w:t>
        </w:r>
        <w:r w:rsidRPr="00935C7F">
          <w:rPr>
            <w:rStyle w:val="Hyperlink"/>
            <w:rFonts w:ascii="Times New Roman" w:eastAsia="Times New Roman" w:hAnsi="Times New Roman" w:cs="Times New Roman"/>
            <w:sz w:val="24"/>
            <w:szCs w:val="24"/>
            <w:u w:val="none"/>
          </w:rPr>
          <w:fldChar w:fldCharType="end"/>
        </w:r>
      </w:hyperlink>
      <w:r w:rsidRPr="00935C7F">
        <w:rPr>
          <w:rFonts w:ascii="Times New Roman" w:eastAsia="Times New Roman" w:hAnsi="Times New Roman" w:cs="Times New Roman"/>
          <w:color w:val="000000"/>
          <w:sz w:val="24"/>
          <w:szCs w:val="24"/>
        </w:rPr>
        <w:t xml:space="preserve"> further support this view, noting that increased transparency from KAM disclosures improves the quality of financial information, directly influencing investor behavior by fostering greater confidence and reducing market uncertainty. Additionally, </w:t>
      </w:r>
      <w:hyperlink w:anchor="Kend" w:history="1">
        <w:r w:rsidRPr="00935C7F">
          <w:rPr>
            <w:rStyle w:val="Hyperlink"/>
            <w:rFonts w:ascii="Times New Roman" w:eastAsia="Times New Roman" w:hAnsi="Times New Roman" w:cs="Times New Roman"/>
            <w:sz w:val="24"/>
            <w:szCs w:val="24"/>
            <w:u w:val="none"/>
          </w:rPr>
          <w:fldChar w:fldCharType="begin"/>
        </w:r>
        <w:r w:rsidRPr="00935C7F">
          <w:rPr>
            <w:rStyle w:val="Hyperlink"/>
            <w:rFonts w:ascii="Times New Roman" w:eastAsia="Times New Roman" w:hAnsi="Times New Roman" w:cs="Times New Roman"/>
            <w:sz w:val="24"/>
            <w:szCs w:val="24"/>
            <w:u w:val="none"/>
          </w:rPr>
          <w:instrText xml:space="preserve"> ADDIN ZOTERO_ITEM CSL_CITATION {"citationID":"a252apd82t","properties":{"formattedCitation":"\\uldash{(Kend &amp; Nguyen, 2022)}","plainCitation":"(Kend &amp; Nguyen, 2022)","dontUpdate":true,"noteIndex":0},"citationItems":[{"id":706,"uris":["http://zotero.org/users/10852507/items/SQG338LC"],"itemData":{"id":706,"type":"article-journal","container-title":"Managerial Auditing Journal","DOI":"10.1108/maj-07-2021-3225","issue":"7","journalAbbreviation":"Managerial Auditing Journal","page":"798-818","title":"Key Audit Risks and Audit Procedures During the Initial Year of the COVID-19 Pandemic: An Analysis of Audit Reports 2019-2020","volume":"37","author":[{"family":"Kend","given":"Michael"},{"family":"Nguyen","given":"Lan A."}],"issued":{"date-parts":[["2022"]]}}}],"schema":"https://github.com/citation-style-language/schema/raw/master/csl-citation.json"} </w:instrText>
        </w:r>
        <w:r w:rsidRPr="00935C7F">
          <w:rPr>
            <w:rStyle w:val="Hyperlink"/>
            <w:rFonts w:ascii="Times New Roman" w:eastAsia="Times New Roman" w:hAnsi="Times New Roman" w:cs="Times New Roman"/>
            <w:sz w:val="24"/>
            <w:szCs w:val="24"/>
            <w:u w:val="none"/>
          </w:rPr>
          <w:fldChar w:fldCharType="separate"/>
        </w:r>
        <w:r w:rsidRPr="00935C7F">
          <w:rPr>
            <w:rStyle w:val="Hyperlink"/>
            <w:rFonts w:ascii="Times New Roman" w:hAnsi="Times New Roman" w:cs="Times New Roman"/>
            <w:sz w:val="24"/>
            <w:u w:val="none"/>
          </w:rPr>
          <w:t>Kend &amp; Nguyen (2022)</w:t>
        </w:r>
        <w:r w:rsidRPr="00935C7F">
          <w:rPr>
            <w:rStyle w:val="Hyperlink"/>
            <w:rFonts w:ascii="Times New Roman" w:eastAsia="Times New Roman" w:hAnsi="Times New Roman" w:cs="Times New Roman"/>
            <w:sz w:val="24"/>
            <w:szCs w:val="24"/>
            <w:u w:val="none"/>
          </w:rPr>
          <w:fldChar w:fldCharType="end"/>
        </w:r>
      </w:hyperlink>
      <w:r w:rsidRPr="00935C7F">
        <w:rPr>
          <w:rFonts w:ascii="Times New Roman" w:eastAsia="Times New Roman" w:hAnsi="Times New Roman" w:cs="Times New Roman"/>
          <w:color w:val="000000"/>
          <w:sz w:val="24"/>
          <w:szCs w:val="24"/>
        </w:rPr>
        <w:t xml:space="preserve"> found that during times of crisis, such as the COVID-19 pandemic, KAM disclosures provided crucial information that helped mitigate risks and improved investor trust in audit reports. Together, these studies underscore the significance of comprehensive KAM disclosures in enhancing transparency, fostering investor confidence, and ultimately reducing the risks associated with investment decisions.</w:t>
      </w:r>
    </w:p>
    <w:p w14:paraId="78A18315" w14:textId="2CA1185E" w:rsidR="005937A6" w:rsidRPr="00935C7F" w:rsidRDefault="005937A6" w:rsidP="00686421">
      <w:pPr>
        <w:spacing w:after="0"/>
        <w:ind w:firstLine="426"/>
        <w:jc w:val="both"/>
        <w:rPr>
          <w:rFonts w:ascii="Times New Roman" w:eastAsia="Times New Roman" w:hAnsi="Times New Roman" w:cs="Times New Roman"/>
          <w:color w:val="000000"/>
          <w:sz w:val="24"/>
          <w:szCs w:val="24"/>
          <w:lang w:val="id-ID"/>
        </w:rPr>
      </w:pPr>
      <w:r w:rsidRPr="00935C7F">
        <w:rPr>
          <w:rFonts w:ascii="Times New Roman" w:eastAsia="Times New Roman" w:hAnsi="Times New Roman" w:cs="Times New Roman"/>
          <w:color w:val="000000"/>
          <w:sz w:val="24"/>
          <w:szCs w:val="24"/>
          <w:lang w:val="id-ID"/>
        </w:rPr>
        <w:t xml:space="preserve">In contrast, KAM1 (the number of </w:t>
      </w:r>
      <w:r w:rsidR="00BE4252" w:rsidRPr="00935C7F">
        <w:rPr>
          <w:rFonts w:ascii="Times New Roman" w:eastAsia="Times New Roman" w:hAnsi="Times New Roman" w:cs="Times New Roman"/>
          <w:color w:val="000000"/>
          <w:sz w:val="24"/>
          <w:szCs w:val="24"/>
          <w:lang w:val="id-ID"/>
        </w:rPr>
        <w:t>KAM</w:t>
      </w:r>
      <w:r w:rsidRPr="00935C7F">
        <w:rPr>
          <w:rFonts w:ascii="Times New Roman" w:eastAsia="Times New Roman" w:hAnsi="Times New Roman" w:cs="Times New Roman"/>
          <w:color w:val="000000"/>
          <w:sz w:val="24"/>
          <w:szCs w:val="24"/>
          <w:lang w:val="id-ID"/>
        </w:rPr>
        <w:t xml:space="preserve"> disclosed) and KAM3 (the monetary information disclosed within </w:t>
      </w:r>
      <w:r w:rsidR="00BE4252" w:rsidRPr="00935C7F">
        <w:rPr>
          <w:rFonts w:ascii="Times New Roman" w:eastAsia="Times New Roman" w:hAnsi="Times New Roman" w:cs="Times New Roman"/>
          <w:color w:val="000000"/>
          <w:sz w:val="24"/>
          <w:szCs w:val="24"/>
          <w:lang w:val="id-ID"/>
        </w:rPr>
        <w:t>KAM</w:t>
      </w:r>
      <w:r w:rsidRPr="00935C7F">
        <w:rPr>
          <w:rFonts w:ascii="Times New Roman" w:eastAsia="Times New Roman" w:hAnsi="Times New Roman" w:cs="Times New Roman"/>
          <w:color w:val="000000"/>
          <w:sz w:val="24"/>
          <w:szCs w:val="24"/>
          <w:lang w:val="id-ID"/>
        </w:rPr>
        <w:t xml:space="preserve">) do not appear to significantly influence investment risk, with p-values of 0.415 and 0.710, respectively, both exceeding conventional significance thresholds (0.10, 0.05, and 0.01). This suggests that the mere presence of </w:t>
      </w:r>
      <w:r w:rsidR="00BE4252" w:rsidRPr="00935C7F">
        <w:rPr>
          <w:rFonts w:ascii="Times New Roman" w:eastAsia="Times New Roman" w:hAnsi="Times New Roman" w:cs="Times New Roman"/>
          <w:color w:val="000000"/>
          <w:sz w:val="24"/>
          <w:szCs w:val="24"/>
          <w:lang w:val="id-ID"/>
        </w:rPr>
        <w:t>KAM</w:t>
      </w:r>
      <w:r w:rsidRPr="00935C7F">
        <w:rPr>
          <w:rFonts w:ascii="Times New Roman" w:eastAsia="Times New Roman" w:hAnsi="Times New Roman" w:cs="Times New Roman"/>
          <w:color w:val="000000"/>
          <w:sz w:val="24"/>
          <w:szCs w:val="24"/>
          <w:lang w:val="id-ID"/>
        </w:rPr>
        <w:t>, as well as the inclusion of monetary details within these disclosures, may not have a sufficient impact on mitigating investment risk from the perspective of investors. One possible explanation for these results is that while KAM disclosures enhance transparency by providing additional insights into audit risks, they may not address the more significant and complex concerns that investors typically consider when assessing risk</w:t>
      </w:r>
      <w:r w:rsidR="00D17748">
        <w:rPr>
          <w:rFonts w:ascii="Times New Roman" w:eastAsia="Times New Roman" w:hAnsi="Times New Roman" w:cs="Times New Roman"/>
          <w:color w:val="000000"/>
          <w:sz w:val="24"/>
          <w:szCs w:val="24"/>
          <w:lang w:val="id-ID"/>
        </w:rPr>
        <w:t>s</w:t>
      </w:r>
      <w:r w:rsidRPr="00935C7F">
        <w:rPr>
          <w:rFonts w:ascii="Times New Roman" w:eastAsia="Times New Roman" w:hAnsi="Times New Roman" w:cs="Times New Roman"/>
          <w:color w:val="000000"/>
          <w:sz w:val="24"/>
          <w:szCs w:val="24"/>
          <w:lang w:val="id-ID"/>
        </w:rPr>
        <w:t>, such as long-term market volatility, industry-specific challenges, or broader macroeconomic factors.</w:t>
      </w:r>
    </w:p>
    <w:p w14:paraId="1429338E" w14:textId="3B30A18B" w:rsidR="00942B06" w:rsidRPr="00935C7F" w:rsidRDefault="005937A6" w:rsidP="00686421">
      <w:pPr>
        <w:spacing w:after="0"/>
        <w:ind w:firstLine="426"/>
        <w:jc w:val="both"/>
        <w:rPr>
          <w:rFonts w:ascii="Times New Roman" w:eastAsia="Times New Roman" w:hAnsi="Times New Roman" w:cs="Times New Roman"/>
          <w:color w:val="000000"/>
          <w:sz w:val="24"/>
          <w:szCs w:val="24"/>
          <w:lang w:val="id-ID"/>
        </w:rPr>
      </w:pPr>
      <w:r w:rsidRPr="00935C7F">
        <w:rPr>
          <w:rFonts w:ascii="Times New Roman" w:eastAsia="Times New Roman" w:hAnsi="Times New Roman" w:cs="Times New Roman"/>
          <w:color w:val="000000"/>
          <w:sz w:val="24"/>
          <w:szCs w:val="24"/>
          <w:lang w:val="id-ID"/>
        </w:rPr>
        <w:t xml:space="preserve">Moreover, </w:t>
      </w:r>
      <w:r w:rsidR="00BE4252" w:rsidRPr="00935C7F">
        <w:rPr>
          <w:rFonts w:ascii="Times New Roman" w:eastAsia="Times New Roman" w:hAnsi="Times New Roman" w:cs="Times New Roman"/>
          <w:color w:val="000000"/>
          <w:sz w:val="24"/>
          <w:szCs w:val="24"/>
          <w:lang w:val="id-ID"/>
        </w:rPr>
        <w:t>KAM</w:t>
      </w:r>
      <w:r w:rsidRPr="00935C7F">
        <w:rPr>
          <w:rFonts w:ascii="Times New Roman" w:eastAsia="Times New Roman" w:hAnsi="Times New Roman" w:cs="Times New Roman"/>
          <w:color w:val="000000"/>
          <w:sz w:val="24"/>
          <w:szCs w:val="24"/>
          <w:lang w:val="id-ID"/>
        </w:rPr>
        <w:t xml:space="preserve"> often focu</w:t>
      </w:r>
      <w:r w:rsidR="00D17748">
        <w:rPr>
          <w:rFonts w:ascii="Times New Roman" w:eastAsia="Times New Roman" w:hAnsi="Times New Roman" w:cs="Times New Roman"/>
          <w:color w:val="000000"/>
          <w:sz w:val="24"/>
          <w:szCs w:val="24"/>
          <w:lang w:val="id-ID"/>
        </w:rPr>
        <w:t>se</w:t>
      </w:r>
      <w:r w:rsidRPr="00935C7F">
        <w:rPr>
          <w:rFonts w:ascii="Times New Roman" w:eastAsia="Times New Roman" w:hAnsi="Times New Roman" w:cs="Times New Roman"/>
          <w:color w:val="000000"/>
          <w:sz w:val="24"/>
          <w:szCs w:val="24"/>
          <w:lang w:val="id-ID"/>
        </w:rPr>
        <w:t xml:space="preserve">s on past or current audit risks, rather than future uncertainties, which may leave investors seeking more forward-looking information that directly addresses potential financial volatility or external shocks, such as economic recessions or political instability. In addition, the monetary details in </w:t>
      </w:r>
      <w:r w:rsidR="00BE4252" w:rsidRPr="00935C7F">
        <w:rPr>
          <w:rFonts w:ascii="Times New Roman" w:eastAsia="Times New Roman" w:hAnsi="Times New Roman" w:cs="Times New Roman"/>
          <w:color w:val="000000"/>
          <w:sz w:val="24"/>
          <w:szCs w:val="24"/>
          <w:lang w:val="id-ID"/>
        </w:rPr>
        <w:t>KAM</w:t>
      </w:r>
      <w:r w:rsidRPr="00935C7F">
        <w:rPr>
          <w:rFonts w:ascii="Times New Roman" w:eastAsia="Times New Roman" w:hAnsi="Times New Roman" w:cs="Times New Roman"/>
          <w:color w:val="000000"/>
          <w:sz w:val="24"/>
          <w:szCs w:val="24"/>
          <w:lang w:val="id-ID"/>
        </w:rPr>
        <w:t xml:space="preserve"> (KAM3) may not be viewed as particularly valuable to investors if they do not offer specific insights into the potential financial impact of disclosed risks, or if the context around these figures does not adequately explain the severity or likelihood of the risks materializing. This could lead to the conclusion that the impact of KAM disclosures on investment risk may depend not only on their quantity and content but also on the clarity and relevance of the information provided within them.</w:t>
      </w:r>
    </w:p>
    <w:p w14:paraId="1C026DA6" w14:textId="150922DC" w:rsidR="00FE0406" w:rsidRPr="00935C7F" w:rsidRDefault="005937A6" w:rsidP="00686421">
      <w:pPr>
        <w:spacing w:after="0"/>
        <w:ind w:firstLine="426"/>
        <w:jc w:val="both"/>
        <w:rPr>
          <w:rFonts w:ascii="Times New Roman" w:eastAsia="Times New Roman" w:hAnsi="Times New Roman" w:cs="Times New Roman"/>
          <w:color w:val="000000"/>
          <w:sz w:val="24"/>
          <w:szCs w:val="24"/>
          <w:lang w:val="id-ID"/>
        </w:rPr>
      </w:pPr>
      <w:r w:rsidRPr="00935C7F">
        <w:rPr>
          <w:rFonts w:ascii="Times New Roman" w:eastAsia="Times New Roman" w:hAnsi="Times New Roman" w:cs="Times New Roman"/>
          <w:color w:val="000000"/>
          <w:sz w:val="24"/>
          <w:szCs w:val="24"/>
          <w:lang w:val="id-ID"/>
        </w:rPr>
        <w:t>In sum, while KAM disclosures are beneficial in increasing transparency, their ability to directly reduce investment risk may be limited if the disclosures do not sufficiently address the broader, more complex factors influencing investor decision-making. Further research could explore the interaction between KAM disclosures and other risk indicators to better understand how investors perceive and react to different types of financial and non-financial risks.</w:t>
      </w:r>
      <w:r w:rsidRPr="00935C7F">
        <w:rPr>
          <w:rFonts w:ascii="Times New Roman" w:eastAsia="Times New Roman" w:hAnsi="Times New Roman" w:cs="Times New Roman"/>
          <w:bCs/>
          <w:color w:val="000000"/>
          <w:position w:val="-1"/>
          <w:sz w:val="24"/>
          <w:szCs w:val="24"/>
          <w:lang w:eastAsia="ja-JP"/>
        </w:rPr>
        <w:t xml:space="preserve"> </w:t>
      </w:r>
      <w:r w:rsidRPr="00935C7F">
        <w:rPr>
          <w:rFonts w:ascii="Times New Roman" w:eastAsia="Times New Roman" w:hAnsi="Times New Roman" w:cs="Times New Roman"/>
          <w:bCs/>
          <w:color w:val="000000"/>
          <w:sz w:val="24"/>
          <w:szCs w:val="24"/>
        </w:rPr>
        <w:t xml:space="preserve">This research investigates how different aspects of KAM disclosures, such as the number of </w:t>
      </w:r>
      <w:r w:rsidR="00BE4252" w:rsidRPr="00935C7F">
        <w:rPr>
          <w:rFonts w:ascii="Times New Roman" w:eastAsia="Times New Roman" w:hAnsi="Times New Roman" w:cs="Times New Roman"/>
          <w:bCs/>
          <w:color w:val="000000"/>
          <w:sz w:val="24"/>
          <w:szCs w:val="24"/>
        </w:rPr>
        <w:t>KAM</w:t>
      </w:r>
      <w:r w:rsidRPr="00935C7F">
        <w:rPr>
          <w:rFonts w:ascii="Times New Roman" w:eastAsia="Times New Roman" w:hAnsi="Times New Roman" w:cs="Times New Roman"/>
          <w:bCs/>
          <w:color w:val="000000"/>
          <w:sz w:val="24"/>
          <w:szCs w:val="24"/>
        </w:rPr>
        <w:t xml:space="preserve"> disclosed, the length of KAM-related paragraphs, and the inclusion of monetary information, influence the perception of investment risk. Additionally, the section explores the role of control variables, including audit opinion, the type of auditor (Big 4), and volume trading, in shaping investor decisions. By examining the relationships between these variables, the study seeks to provide insights into how KAM disclosures may reduce information asymmetry and enhance transparency, thereby helping investors make more informed decisions and mitigating potential risks in the market. The results are interpreted in relation to the existing literature, providing a deeper </w:t>
      </w:r>
      <w:r w:rsidRPr="00935C7F">
        <w:rPr>
          <w:rFonts w:ascii="Times New Roman" w:eastAsia="Times New Roman" w:hAnsi="Times New Roman" w:cs="Times New Roman"/>
          <w:bCs/>
          <w:color w:val="000000"/>
          <w:sz w:val="24"/>
          <w:szCs w:val="24"/>
        </w:rPr>
        <w:lastRenderedPageBreak/>
        <w:t>understanding of how KAM disclosures can influence corporate governance and investment outcomes.</w:t>
      </w:r>
    </w:p>
    <w:p w14:paraId="24352A16" w14:textId="77777777" w:rsidR="00FE0406" w:rsidRPr="00935C7F" w:rsidRDefault="00FE0406" w:rsidP="00686421">
      <w:pPr>
        <w:spacing w:after="0"/>
        <w:jc w:val="both"/>
        <w:rPr>
          <w:rFonts w:ascii="Times New Roman" w:eastAsia="Times New Roman" w:hAnsi="Times New Roman" w:cs="Times New Roman"/>
          <w:b/>
          <w:iCs/>
          <w:sz w:val="24"/>
          <w:szCs w:val="24"/>
        </w:rPr>
      </w:pPr>
    </w:p>
    <w:p w14:paraId="43F1F74B" w14:textId="59987DE0" w:rsidR="005937A6" w:rsidRPr="00935C7F" w:rsidRDefault="007A3B40" w:rsidP="00686421">
      <w:pPr>
        <w:numPr>
          <w:ilvl w:val="0"/>
          <w:numId w:val="1"/>
        </w:numPr>
        <w:pBdr>
          <w:top w:val="nil"/>
          <w:left w:val="nil"/>
          <w:bottom w:val="nil"/>
          <w:right w:val="nil"/>
          <w:between w:val="nil"/>
        </w:pBdr>
        <w:spacing w:after="0"/>
        <w:ind w:left="426" w:hanging="426"/>
        <w:jc w:val="both"/>
        <w:rPr>
          <w:rFonts w:ascii="Times New Roman" w:eastAsia="Times New Roman" w:hAnsi="Times New Roman" w:cs="Times New Roman"/>
          <w:b/>
          <w:color w:val="000000"/>
          <w:sz w:val="24"/>
          <w:szCs w:val="24"/>
        </w:rPr>
      </w:pPr>
      <w:r w:rsidRPr="00935C7F">
        <w:rPr>
          <w:rFonts w:ascii="Times New Roman" w:eastAsia="Times New Roman" w:hAnsi="Times New Roman" w:cs="Times New Roman"/>
          <w:b/>
          <w:color w:val="000000"/>
          <w:sz w:val="24"/>
          <w:szCs w:val="24"/>
        </w:rPr>
        <w:t>Conclusion, Implications, and Limitations</w:t>
      </w:r>
    </w:p>
    <w:p w14:paraId="0496CF31" w14:textId="015BDD97" w:rsidR="00B21E56" w:rsidRPr="00935C7F" w:rsidRDefault="00B21E56" w:rsidP="00686421">
      <w:pPr>
        <w:spacing w:after="0"/>
        <w:ind w:firstLine="426"/>
        <w:jc w:val="both"/>
        <w:rPr>
          <w:rFonts w:ascii="Times New Roman" w:eastAsia="Times New Roman" w:hAnsi="Times New Roman" w:cs="Times New Roman"/>
          <w:sz w:val="24"/>
          <w:szCs w:val="24"/>
          <w:lang w:val="id-ID"/>
        </w:rPr>
      </w:pPr>
      <w:r w:rsidRPr="00935C7F">
        <w:rPr>
          <w:rFonts w:ascii="Times New Roman" w:eastAsia="Times New Roman" w:hAnsi="Times New Roman" w:cs="Times New Roman"/>
          <w:sz w:val="24"/>
          <w:szCs w:val="24"/>
          <w:lang w:val="id-ID"/>
        </w:rPr>
        <w:t>This study investigates the relationship between Key Audit Matters (</w:t>
      </w:r>
      <w:r w:rsidR="00BE4252" w:rsidRPr="00935C7F">
        <w:rPr>
          <w:rFonts w:ascii="Times New Roman" w:eastAsia="Times New Roman" w:hAnsi="Times New Roman" w:cs="Times New Roman"/>
          <w:sz w:val="24"/>
          <w:szCs w:val="24"/>
          <w:lang w:val="id-ID"/>
        </w:rPr>
        <w:t>KAM</w:t>
      </w:r>
      <w:r w:rsidRPr="00935C7F">
        <w:rPr>
          <w:rFonts w:ascii="Times New Roman" w:eastAsia="Times New Roman" w:hAnsi="Times New Roman" w:cs="Times New Roman"/>
          <w:sz w:val="24"/>
          <w:szCs w:val="24"/>
          <w:lang w:val="id-ID"/>
        </w:rPr>
        <w:t>) disclosures and investment risk. The results show that</w:t>
      </w:r>
      <w:r w:rsidRPr="00935C7F">
        <w:rPr>
          <w:rFonts w:ascii="Times New Roman" w:eastAsia="Times New Roman" w:hAnsi="Times New Roman" w:cs="Times New Roman"/>
          <w:sz w:val="24"/>
          <w:szCs w:val="24"/>
        </w:rPr>
        <w:t xml:space="preserve"> the number of paragraphs dedicated to </w:t>
      </w:r>
      <w:r w:rsidR="00BE4252" w:rsidRPr="00935C7F">
        <w:rPr>
          <w:rFonts w:ascii="Times New Roman" w:eastAsia="Times New Roman" w:hAnsi="Times New Roman" w:cs="Times New Roman"/>
          <w:sz w:val="24"/>
          <w:szCs w:val="24"/>
        </w:rPr>
        <w:t>KAM</w:t>
      </w:r>
      <w:r w:rsidRPr="00935C7F">
        <w:rPr>
          <w:rFonts w:ascii="Times New Roman" w:eastAsia="Times New Roman" w:hAnsi="Times New Roman" w:cs="Times New Roman"/>
          <w:sz w:val="24"/>
          <w:szCs w:val="24"/>
        </w:rPr>
        <w:t xml:space="preserve"> in the audit report</w:t>
      </w:r>
      <w:r w:rsidRPr="00935C7F">
        <w:rPr>
          <w:rFonts w:ascii="Times New Roman" w:eastAsia="Times New Roman" w:hAnsi="Times New Roman" w:cs="Times New Roman"/>
          <w:sz w:val="24"/>
          <w:szCs w:val="24"/>
          <w:lang w:val="id-ID"/>
        </w:rPr>
        <w:t xml:space="preserve">, which reflects the detailed disclosure of </w:t>
      </w:r>
      <w:r w:rsidR="00BE4252" w:rsidRPr="00935C7F">
        <w:rPr>
          <w:rFonts w:ascii="Times New Roman" w:eastAsia="Times New Roman" w:hAnsi="Times New Roman" w:cs="Times New Roman"/>
          <w:sz w:val="24"/>
          <w:szCs w:val="24"/>
          <w:lang w:val="id-ID"/>
        </w:rPr>
        <w:t>KAM</w:t>
      </w:r>
      <w:r w:rsidRPr="00935C7F">
        <w:rPr>
          <w:rFonts w:ascii="Times New Roman" w:eastAsia="Times New Roman" w:hAnsi="Times New Roman" w:cs="Times New Roman"/>
          <w:sz w:val="24"/>
          <w:szCs w:val="24"/>
          <w:lang w:val="id-ID"/>
        </w:rPr>
        <w:t>, is significantly associated with a reduction in investment risk, supporting the notion that increased transparency in audit reporting helps mitigate uncertainty and perceived risk among investors. However, the number of KAM disclosed and monetary disclosure do</w:t>
      </w:r>
      <w:r w:rsidR="000615AA">
        <w:rPr>
          <w:rFonts w:ascii="Times New Roman" w:eastAsia="Times New Roman" w:hAnsi="Times New Roman" w:cs="Times New Roman"/>
          <w:sz w:val="24"/>
          <w:szCs w:val="24"/>
          <w:lang w:val="id-ID"/>
        </w:rPr>
        <w:t>es</w:t>
      </w:r>
      <w:r w:rsidRPr="00935C7F">
        <w:rPr>
          <w:rFonts w:ascii="Times New Roman" w:eastAsia="Times New Roman" w:hAnsi="Times New Roman" w:cs="Times New Roman"/>
          <w:sz w:val="24"/>
          <w:szCs w:val="24"/>
          <w:lang w:val="id-ID"/>
        </w:rPr>
        <w:t xml:space="preserve"> not exhibit a significant relationship with investment risk, suggesting that the mere presence of </w:t>
      </w:r>
      <w:r w:rsidR="00BE4252" w:rsidRPr="00935C7F">
        <w:rPr>
          <w:rFonts w:ascii="Times New Roman" w:eastAsia="Times New Roman" w:hAnsi="Times New Roman" w:cs="Times New Roman"/>
          <w:sz w:val="24"/>
          <w:szCs w:val="24"/>
          <w:lang w:val="id-ID"/>
        </w:rPr>
        <w:t>KAM</w:t>
      </w:r>
      <w:r w:rsidRPr="00935C7F">
        <w:rPr>
          <w:rFonts w:ascii="Times New Roman" w:eastAsia="Times New Roman" w:hAnsi="Times New Roman" w:cs="Times New Roman"/>
          <w:sz w:val="24"/>
          <w:szCs w:val="24"/>
          <w:lang w:val="id-ID"/>
        </w:rPr>
        <w:t xml:space="preserve"> or their monetary details may not be enough to impact investors' perceptions of risk. </w:t>
      </w:r>
    </w:p>
    <w:p w14:paraId="28973EA7" w14:textId="77777777" w:rsidR="00B21E56" w:rsidRPr="00935C7F" w:rsidRDefault="00B21E56" w:rsidP="00686421">
      <w:pPr>
        <w:spacing w:after="0"/>
        <w:ind w:firstLine="426"/>
        <w:jc w:val="both"/>
        <w:rPr>
          <w:rFonts w:ascii="Times New Roman" w:eastAsia="Times New Roman" w:hAnsi="Times New Roman" w:cs="Times New Roman"/>
          <w:sz w:val="24"/>
          <w:szCs w:val="24"/>
          <w:lang w:val="id-ID"/>
        </w:rPr>
      </w:pPr>
      <w:r w:rsidRPr="00935C7F">
        <w:rPr>
          <w:rFonts w:ascii="Times New Roman" w:eastAsia="Times New Roman" w:hAnsi="Times New Roman" w:cs="Times New Roman"/>
          <w:sz w:val="24"/>
          <w:szCs w:val="24"/>
          <w:lang w:val="id-ID"/>
        </w:rPr>
        <w:t>These findings contribute to the literature on audit transparency and risk perception, emphasizing that the depth and clarity of audit disclosures are critical factors in reducing perceived investment risk. The results also highlight the complexities of the relationship between audit reporting and investor behavior, suggesting that other factors, such as firm characteristics and market activity, should be considered when evaluating the effectiveness of audit disclosures.</w:t>
      </w:r>
    </w:p>
    <w:p w14:paraId="4D4B5AD1" w14:textId="77777777" w:rsidR="00B21E56" w:rsidRPr="00935C7F" w:rsidRDefault="00B21E56" w:rsidP="00686421">
      <w:pPr>
        <w:spacing w:after="0"/>
        <w:ind w:firstLine="426"/>
        <w:jc w:val="both"/>
        <w:rPr>
          <w:rFonts w:ascii="Times New Roman" w:eastAsia="Times New Roman" w:hAnsi="Times New Roman" w:cs="Times New Roman"/>
          <w:sz w:val="24"/>
          <w:szCs w:val="24"/>
          <w:lang w:val="id-ID"/>
        </w:rPr>
      </w:pPr>
      <w:r w:rsidRPr="00935C7F">
        <w:rPr>
          <w:rFonts w:ascii="Times New Roman" w:eastAsia="Times New Roman" w:hAnsi="Times New Roman" w:cs="Times New Roman"/>
          <w:sz w:val="24"/>
          <w:szCs w:val="24"/>
        </w:rPr>
        <w:t>Despite providing valuable insights, this study has several limitations that should be acknowledged. First, the analysis focuses on a specific set of companies within a certain timeframe, which may limit the generalizability of the findings to other markets or periods. The study uses data from Indonesian companies listed on the IDX, and the results might differ in other countries with different regulatory environments or market conditions. Second, while this study controls for several variables, other potential confounding factors, such as corporate governance practices, macroeconomic conditions, and industry-specific risks, could further influence the relationship between audit disclosures and investment risk. Future research could address these limitations by expanding the sample size, considering different market contexts, and incorporating additional variables that could affect the relationship between audit disclosures and investment risk.</w:t>
      </w:r>
    </w:p>
    <w:p w14:paraId="5EE7EF12" w14:textId="77777777" w:rsidR="00B21E56" w:rsidRPr="00935C7F" w:rsidRDefault="00B21E56" w:rsidP="00686421">
      <w:pPr>
        <w:spacing w:after="0"/>
        <w:ind w:firstLine="426"/>
        <w:jc w:val="both"/>
        <w:rPr>
          <w:rFonts w:ascii="Times New Roman" w:eastAsia="Times New Roman" w:hAnsi="Times New Roman" w:cs="Times New Roman"/>
          <w:sz w:val="24"/>
          <w:szCs w:val="24"/>
        </w:rPr>
      </w:pPr>
      <w:r w:rsidRPr="00935C7F">
        <w:rPr>
          <w:rFonts w:ascii="Times New Roman" w:eastAsia="Times New Roman" w:hAnsi="Times New Roman" w:cs="Times New Roman"/>
          <w:bCs/>
          <w:sz w:val="24"/>
          <w:szCs w:val="24"/>
        </w:rPr>
        <w:t>Based on the limitations and findings of this study, several directions for future research can be suggested. First, future studies could extend the analysis by incorporating a larger and more diverse sample of companies from different countries or regions, which would provide a more comprehensive understanding of how audit disclosures influence investment risk across various regulatory environments. Second, additional research could examine the role of other forms of audit transparency, such as the quality of the auditor’s opinion or the extent of financial statement restatements, in influencing investor behavior and market outcomes. Finally, future research could investigate the potential moderating effects of corporate governance, firm performance, or market conditions on the relationship between audit disclosures and investment risk, providing further insights into the contextual factors that influence investor decision-making. By exploring these areas, future research can contribute to a more nuanced understanding of the role of audit reporting in reducing investment uncertainty and enhancing market stability.</w:t>
      </w:r>
    </w:p>
    <w:p w14:paraId="151A2048" w14:textId="77777777" w:rsidR="008D480F" w:rsidRPr="00BF1534" w:rsidRDefault="008D480F" w:rsidP="00785F8C">
      <w:pPr>
        <w:spacing w:after="0"/>
        <w:jc w:val="both"/>
        <w:rPr>
          <w:rFonts w:ascii="Times New Roman" w:eastAsia="Times New Roman" w:hAnsi="Times New Roman" w:cs="Times New Roman"/>
          <w:b/>
          <w:sz w:val="24"/>
          <w:szCs w:val="24"/>
          <w:lang w:val="id-ID"/>
        </w:rPr>
      </w:pPr>
    </w:p>
    <w:p w14:paraId="2C138DDE" w14:textId="77777777" w:rsidR="008D480F" w:rsidRDefault="007A3B40" w:rsidP="00785F8C">
      <w:pPr>
        <w:spacing w:after="0"/>
        <w:jc w:val="both"/>
        <w:rPr>
          <w:rFonts w:ascii="Times New Roman" w:eastAsia="Times New Roman" w:hAnsi="Times New Roman" w:cs="Times New Roman"/>
          <w:b/>
          <w:sz w:val="24"/>
          <w:szCs w:val="24"/>
        </w:rPr>
      </w:pPr>
      <w:r w:rsidRPr="00785F8C">
        <w:rPr>
          <w:rFonts w:ascii="Times New Roman" w:eastAsia="Times New Roman" w:hAnsi="Times New Roman" w:cs="Times New Roman"/>
          <w:b/>
          <w:sz w:val="24"/>
          <w:szCs w:val="24"/>
        </w:rPr>
        <w:t>References</w:t>
      </w:r>
    </w:p>
    <w:p w14:paraId="0E741332" w14:textId="26552906" w:rsidR="00333370" w:rsidRPr="00785F8C" w:rsidRDefault="00333370" w:rsidP="008D480F">
      <w:pPr>
        <w:spacing w:after="160" w:line="240" w:lineRule="auto"/>
        <w:jc w:val="both"/>
        <w:rPr>
          <w:rFonts w:ascii="Times New Roman" w:eastAsia="Times New Roman" w:hAnsi="Times New Roman" w:cs="Times New Roman"/>
          <w:sz w:val="24"/>
          <w:szCs w:val="24"/>
        </w:rPr>
      </w:pPr>
      <w:r w:rsidRPr="00785F8C">
        <w:rPr>
          <w:rFonts w:ascii="Times New Roman" w:hAnsi="Times New Roman" w:cs="Times New Roman"/>
          <w:b/>
          <w:sz w:val="24"/>
          <w:szCs w:val="24"/>
        </w:rPr>
        <w:lastRenderedPageBreak/>
        <w:fldChar w:fldCharType="begin"/>
      </w:r>
      <w:r w:rsidRPr="00785F8C">
        <w:rPr>
          <w:rFonts w:ascii="Times New Roman" w:hAnsi="Times New Roman" w:cs="Times New Roman"/>
          <w:b/>
          <w:sz w:val="24"/>
          <w:szCs w:val="24"/>
        </w:rPr>
        <w:instrText xml:space="preserve"> ADDIN ZOTERO_BIBL {"uncited":[],"omitted":[],"custom":[]} CSL_BIBLIOGRAPHY </w:instrText>
      </w:r>
      <w:r w:rsidRPr="00785F8C">
        <w:rPr>
          <w:rFonts w:ascii="Times New Roman" w:hAnsi="Times New Roman" w:cs="Times New Roman"/>
          <w:b/>
          <w:sz w:val="24"/>
          <w:szCs w:val="24"/>
        </w:rPr>
        <w:fldChar w:fldCharType="separate"/>
      </w:r>
    </w:p>
    <w:p w14:paraId="1E03A62A" w14:textId="0221339D" w:rsidR="00A626AF" w:rsidRPr="00785F8C" w:rsidRDefault="00A626AF" w:rsidP="008D480F">
      <w:pPr>
        <w:pStyle w:val="Bibliography"/>
        <w:spacing w:after="160" w:line="240" w:lineRule="auto"/>
        <w:ind w:left="720" w:hanging="720"/>
        <w:jc w:val="both"/>
        <w:rPr>
          <w:rFonts w:ascii="Times New Roman" w:hAnsi="Times New Roman" w:cs="Times New Roman"/>
          <w:sz w:val="24"/>
          <w:szCs w:val="24"/>
          <w:lang w:val="id-ID"/>
        </w:rPr>
      </w:pPr>
      <w:bookmarkStart w:id="0" w:name="Abdullatif"/>
      <w:bookmarkStart w:id="1" w:name="Akerlof"/>
      <w:r w:rsidRPr="00785F8C">
        <w:rPr>
          <w:rFonts w:ascii="Times New Roman" w:hAnsi="Times New Roman" w:cs="Times New Roman"/>
          <w:sz w:val="24"/>
          <w:szCs w:val="24"/>
          <w:lang w:val="id-ID"/>
        </w:rPr>
        <w:t>Abdullatif</w:t>
      </w:r>
      <w:bookmarkEnd w:id="0"/>
      <w:r w:rsidRPr="00785F8C">
        <w:rPr>
          <w:rFonts w:ascii="Times New Roman" w:hAnsi="Times New Roman" w:cs="Times New Roman"/>
          <w:sz w:val="24"/>
          <w:szCs w:val="24"/>
          <w:lang w:val="id-ID"/>
        </w:rPr>
        <w:t xml:space="preserve">, M., Alzebdieh, R., &amp; Ballour, S. (2023). The </w:t>
      </w:r>
      <w:r w:rsidR="00FE6F96" w:rsidRPr="00785F8C">
        <w:rPr>
          <w:rFonts w:ascii="Times New Roman" w:hAnsi="Times New Roman" w:cs="Times New Roman"/>
          <w:sz w:val="24"/>
          <w:szCs w:val="24"/>
          <w:lang w:val="id-ID"/>
        </w:rPr>
        <w:t xml:space="preserve">effect of key audit matters on the audit report lag: evidence from </w:t>
      </w:r>
      <w:r w:rsidR="009C0357" w:rsidRPr="00785F8C">
        <w:rPr>
          <w:rFonts w:ascii="Times New Roman" w:hAnsi="Times New Roman" w:cs="Times New Roman"/>
          <w:sz w:val="24"/>
          <w:szCs w:val="24"/>
          <w:lang w:val="id-ID"/>
        </w:rPr>
        <w:t>J</w:t>
      </w:r>
      <w:r w:rsidR="00FE6F96" w:rsidRPr="00785F8C">
        <w:rPr>
          <w:rFonts w:ascii="Times New Roman" w:hAnsi="Times New Roman" w:cs="Times New Roman"/>
          <w:sz w:val="24"/>
          <w:szCs w:val="24"/>
          <w:lang w:val="id-ID"/>
        </w:rPr>
        <w:t>ordan</w:t>
      </w:r>
      <w:r w:rsidRPr="00785F8C">
        <w:rPr>
          <w:rFonts w:ascii="Times New Roman" w:hAnsi="Times New Roman" w:cs="Times New Roman"/>
          <w:sz w:val="24"/>
          <w:szCs w:val="24"/>
          <w:lang w:val="id-ID"/>
        </w:rPr>
        <w:t xml:space="preserve">. </w:t>
      </w:r>
      <w:r w:rsidRPr="00785F8C">
        <w:rPr>
          <w:rFonts w:ascii="Times New Roman" w:hAnsi="Times New Roman" w:cs="Times New Roman"/>
          <w:i/>
          <w:iCs/>
          <w:sz w:val="24"/>
          <w:szCs w:val="24"/>
          <w:lang w:val="id-ID"/>
        </w:rPr>
        <w:t>Journal of Financial Reporting and Accounting</w:t>
      </w:r>
      <w:r w:rsidRPr="00785F8C">
        <w:rPr>
          <w:rFonts w:ascii="Times New Roman" w:hAnsi="Times New Roman" w:cs="Times New Roman"/>
          <w:sz w:val="24"/>
          <w:szCs w:val="24"/>
          <w:lang w:val="id-ID"/>
        </w:rPr>
        <w:t xml:space="preserve">, </w:t>
      </w:r>
      <w:r w:rsidRPr="00785F8C">
        <w:rPr>
          <w:rFonts w:ascii="Times New Roman" w:hAnsi="Times New Roman" w:cs="Times New Roman"/>
          <w:i/>
          <w:iCs/>
          <w:sz w:val="24"/>
          <w:szCs w:val="24"/>
          <w:lang w:val="id-ID"/>
        </w:rPr>
        <w:t>23</w:t>
      </w:r>
      <w:r w:rsidRPr="00785F8C">
        <w:rPr>
          <w:rFonts w:ascii="Times New Roman" w:hAnsi="Times New Roman" w:cs="Times New Roman"/>
          <w:sz w:val="24"/>
          <w:szCs w:val="24"/>
          <w:lang w:val="id-ID"/>
        </w:rPr>
        <w:t xml:space="preserve">(1), 257–284. </w:t>
      </w:r>
      <w:hyperlink r:id="rId11" w:history="1">
        <w:r w:rsidRPr="00785F8C">
          <w:rPr>
            <w:rStyle w:val="Hyperlink"/>
            <w:rFonts w:ascii="Times New Roman" w:hAnsi="Times New Roman" w:cs="Times New Roman"/>
            <w:color w:val="000000" w:themeColor="text1"/>
            <w:sz w:val="24"/>
            <w:szCs w:val="24"/>
            <w:u w:val="none"/>
            <w:lang w:val="id-ID"/>
          </w:rPr>
          <w:t>https://doi.org/10.1108/jfra-07-2022-0245</w:t>
        </w:r>
      </w:hyperlink>
    </w:p>
    <w:p w14:paraId="6A70AD25" w14:textId="77777777" w:rsidR="005A7A86" w:rsidRPr="00785F8C" w:rsidRDefault="00A626AF" w:rsidP="008D480F">
      <w:pPr>
        <w:pStyle w:val="Bibliography"/>
        <w:spacing w:after="160" w:line="240" w:lineRule="auto"/>
        <w:ind w:left="720" w:hanging="720"/>
        <w:jc w:val="both"/>
        <w:rPr>
          <w:rFonts w:ascii="Times New Roman" w:hAnsi="Times New Roman" w:cs="Times New Roman"/>
          <w:sz w:val="24"/>
          <w:szCs w:val="24"/>
          <w:lang w:val="id-ID"/>
        </w:rPr>
      </w:pPr>
      <w:bookmarkStart w:id="2" w:name="Adil"/>
      <w:r w:rsidRPr="00785F8C">
        <w:rPr>
          <w:rFonts w:ascii="Times New Roman" w:hAnsi="Times New Roman" w:cs="Times New Roman"/>
          <w:sz w:val="24"/>
          <w:szCs w:val="24"/>
        </w:rPr>
        <w:t>Adil</w:t>
      </w:r>
      <w:bookmarkEnd w:id="2"/>
      <w:r w:rsidRPr="00785F8C">
        <w:rPr>
          <w:rFonts w:ascii="Times New Roman" w:hAnsi="Times New Roman" w:cs="Times New Roman"/>
          <w:sz w:val="24"/>
          <w:szCs w:val="24"/>
        </w:rPr>
        <w:t xml:space="preserve">, M., Singh, Y., &amp; Ansari, M. S. (2021). How financial literacy moderate the association between behaviour biases and investment decision? </w:t>
      </w:r>
      <w:r w:rsidRPr="00785F8C">
        <w:rPr>
          <w:rFonts w:ascii="Times New Roman" w:hAnsi="Times New Roman" w:cs="Times New Roman"/>
          <w:i/>
          <w:iCs/>
          <w:sz w:val="24"/>
          <w:szCs w:val="24"/>
        </w:rPr>
        <w:t>Asian Journal of Accounting Research</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7</w:t>
      </w:r>
      <w:r w:rsidRPr="00785F8C">
        <w:rPr>
          <w:rFonts w:ascii="Times New Roman" w:hAnsi="Times New Roman" w:cs="Times New Roman"/>
          <w:sz w:val="24"/>
          <w:szCs w:val="24"/>
        </w:rPr>
        <w:t>(1), 17–30. https://doi.org/10.1108/ajar-09-2020-0086</w:t>
      </w:r>
    </w:p>
    <w:p w14:paraId="16111532" w14:textId="06287D3D"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lang w:val="id-ID"/>
        </w:rPr>
      </w:pPr>
      <w:r w:rsidRPr="00785F8C">
        <w:rPr>
          <w:rFonts w:ascii="Times New Roman" w:hAnsi="Times New Roman" w:cs="Times New Roman"/>
          <w:sz w:val="24"/>
          <w:szCs w:val="24"/>
        </w:rPr>
        <w:t>Akerlof</w:t>
      </w:r>
      <w:bookmarkEnd w:id="1"/>
      <w:r w:rsidRPr="00785F8C">
        <w:rPr>
          <w:rFonts w:ascii="Times New Roman" w:hAnsi="Times New Roman" w:cs="Times New Roman"/>
          <w:sz w:val="24"/>
          <w:szCs w:val="24"/>
        </w:rPr>
        <w:t xml:space="preserve">, G. A. (1970). The </w:t>
      </w:r>
      <w:r w:rsidR="00E31919" w:rsidRPr="00785F8C">
        <w:rPr>
          <w:rFonts w:ascii="Times New Roman" w:hAnsi="Times New Roman" w:cs="Times New Roman"/>
          <w:sz w:val="24"/>
          <w:szCs w:val="24"/>
        </w:rPr>
        <w:t>m</w:t>
      </w:r>
      <w:r w:rsidRPr="00785F8C">
        <w:rPr>
          <w:rFonts w:ascii="Times New Roman" w:hAnsi="Times New Roman" w:cs="Times New Roman"/>
          <w:sz w:val="24"/>
          <w:szCs w:val="24"/>
        </w:rPr>
        <w:t>arket for “</w:t>
      </w:r>
      <w:r w:rsidR="00E31919" w:rsidRPr="00785F8C">
        <w:rPr>
          <w:rFonts w:ascii="Times New Roman" w:hAnsi="Times New Roman" w:cs="Times New Roman"/>
          <w:sz w:val="24"/>
          <w:szCs w:val="24"/>
        </w:rPr>
        <w:t>l</w:t>
      </w:r>
      <w:r w:rsidRPr="00785F8C">
        <w:rPr>
          <w:rFonts w:ascii="Times New Roman" w:hAnsi="Times New Roman" w:cs="Times New Roman"/>
          <w:sz w:val="24"/>
          <w:szCs w:val="24"/>
        </w:rPr>
        <w:t xml:space="preserve">emons”: </w:t>
      </w:r>
      <w:r w:rsidR="00E31919" w:rsidRPr="00785F8C">
        <w:rPr>
          <w:rFonts w:ascii="Times New Roman" w:hAnsi="Times New Roman" w:cs="Times New Roman"/>
          <w:sz w:val="24"/>
          <w:szCs w:val="24"/>
        </w:rPr>
        <w:t>Quality uncertainty and the market mechanism</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The Quarterly Journal of Economics</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84</w:t>
      </w:r>
      <w:r w:rsidR="007A76C0" w:rsidRPr="00785F8C">
        <w:rPr>
          <w:rFonts w:ascii="Times New Roman" w:hAnsi="Times New Roman" w:cs="Times New Roman"/>
          <w:sz w:val="24"/>
          <w:szCs w:val="24"/>
        </w:rPr>
        <w:t>(3), 488–500. https://doi.org/10.2307/1879431</w:t>
      </w:r>
    </w:p>
    <w:p w14:paraId="2866E333" w14:textId="696B8229"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3" w:name="AlHadrami"/>
      <w:r w:rsidRPr="00785F8C">
        <w:rPr>
          <w:rFonts w:ascii="Times New Roman" w:hAnsi="Times New Roman" w:cs="Times New Roman"/>
          <w:sz w:val="24"/>
          <w:szCs w:val="24"/>
        </w:rPr>
        <w:t>Al-Hadrami</w:t>
      </w:r>
      <w:bookmarkEnd w:id="3"/>
      <w:r w:rsidRPr="00785F8C">
        <w:rPr>
          <w:rFonts w:ascii="Times New Roman" w:hAnsi="Times New Roman" w:cs="Times New Roman"/>
          <w:sz w:val="24"/>
          <w:szCs w:val="24"/>
        </w:rPr>
        <w:t xml:space="preserve">, A. H., Rafiki, A., Sarea, A., &amp; Muhammad Dharma Tuah Putra Nasution. (2020). Is </w:t>
      </w:r>
      <w:r w:rsidR="00E31919" w:rsidRPr="00785F8C">
        <w:rPr>
          <w:rFonts w:ascii="Times New Roman" w:hAnsi="Times New Roman" w:cs="Times New Roman"/>
          <w:sz w:val="24"/>
          <w:szCs w:val="24"/>
        </w:rPr>
        <w:t>the investment decision affected by the independence and competence of the audit committe</w:t>
      </w:r>
      <w:r w:rsidR="00E76E65">
        <w:rPr>
          <w:rFonts w:ascii="Times New Roman" w:hAnsi="Times New Roman" w:cs="Times New Roman"/>
          <w:sz w:val="24"/>
          <w:szCs w:val="24"/>
        </w:rPr>
        <w:t xml:space="preserve">e? </w:t>
      </w:r>
      <w:r w:rsidR="00E76E65">
        <w:rPr>
          <w:rFonts w:ascii="Times New Roman" w:hAnsi="Times New Roman" w:cs="Times New Roman"/>
          <w:sz w:val="24"/>
          <w:szCs w:val="24"/>
          <w:lang w:val="id-ID"/>
        </w:rPr>
        <w:t>A</w:t>
      </w:r>
      <w:r w:rsidR="00B355AF" w:rsidRPr="00785F8C">
        <w:rPr>
          <w:rFonts w:ascii="Times New Roman" w:hAnsi="Times New Roman" w:cs="Times New Roman"/>
          <w:sz w:val="24"/>
          <w:szCs w:val="24"/>
        </w:rPr>
        <w:t xml:space="preserve"> comparative study between </w:t>
      </w:r>
      <w:r w:rsidR="00B355AF" w:rsidRPr="00785F8C">
        <w:rPr>
          <w:rFonts w:ascii="Times New Roman" w:hAnsi="Times New Roman" w:cs="Times New Roman"/>
          <w:sz w:val="24"/>
          <w:szCs w:val="24"/>
          <w:lang w:val="id-ID"/>
        </w:rPr>
        <w:t>B</w:t>
      </w:r>
      <w:r w:rsidR="00E31919" w:rsidRPr="00785F8C">
        <w:rPr>
          <w:rFonts w:ascii="Times New Roman" w:hAnsi="Times New Roman" w:cs="Times New Roman"/>
          <w:sz w:val="24"/>
          <w:szCs w:val="24"/>
        </w:rPr>
        <w:t xml:space="preserve">ahrain and </w:t>
      </w:r>
      <w:r w:rsidR="00B355AF" w:rsidRPr="00785F8C">
        <w:rPr>
          <w:rFonts w:ascii="Times New Roman" w:hAnsi="Times New Roman" w:cs="Times New Roman"/>
          <w:sz w:val="24"/>
          <w:szCs w:val="24"/>
          <w:lang w:val="id-ID"/>
        </w:rPr>
        <w:t>I</w:t>
      </w:r>
      <w:r w:rsidR="00E31919" w:rsidRPr="00785F8C">
        <w:rPr>
          <w:rFonts w:ascii="Times New Roman" w:hAnsi="Times New Roman" w:cs="Times New Roman"/>
          <w:sz w:val="24"/>
          <w:szCs w:val="24"/>
        </w:rPr>
        <w:t>ndonesia</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Journal of Investment Compliance</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21</w:t>
      </w:r>
      <w:r w:rsidRPr="00785F8C">
        <w:rPr>
          <w:rFonts w:ascii="Times New Roman" w:hAnsi="Times New Roman" w:cs="Times New Roman"/>
          <w:sz w:val="24"/>
          <w:szCs w:val="24"/>
        </w:rPr>
        <w:t>(1), 29–48. https://doi.org/10.1108/joic-05-2020-0005</w:t>
      </w:r>
    </w:p>
    <w:p w14:paraId="0E26F2AC" w14:textId="4BA02DD8"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4" w:name="Almulla"/>
      <w:r w:rsidRPr="00785F8C">
        <w:rPr>
          <w:rFonts w:ascii="Times New Roman" w:hAnsi="Times New Roman" w:cs="Times New Roman"/>
          <w:sz w:val="24"/>
          <w:szCs w:val="24"/>
        </w:rPr>
        <w:t>Al‐mulla</w:t>
      </w:r>
      <w:bookmarkEnd w:id="4"/>
      <w:r w:rsidRPr="00785F8C">
        <w:rPr>
          <w:rFonts w:ascii="Times New Roman" w:hAnsi="Times New Roman" w:cs="Times New Roman"/>
          <w:sz w:val="24"/>
          <w:szCs w:val="24"/>
        </w:rPr>
        <w:t xml:space="preserve">, M., &amp; Bradbury, M. E. (2021). </w:t>
      </w:r>
      <w:r w:rsidR="00E31919" w:rsidRPr="00785F8C">
        <w:rPr>
          <w:rFonts w:ascii="Times New Roman" w:hAnsi="Times New Roman" w:cs="Times New Roman"/>
          <w:sz w:val="24"/>
          <w:szCs w:val="24"/>
        </w:rPr>
        <w:t>Auditor, client</w:t>
      </w:r>
      <w:r w:rsidR="00B355AF" w:rsidRPr="00785F8C">
        <w:rPr>
          <w:rFonts w:ascii="Times New Roman" w:hAnsi="Times New Roman" w:cs="Times New Roman"/>
          <w:sz w:val="24"/>
          <w:szCs w:val="24"/>
        </w:rPr>
        <w:t>,</w:t>
      </w:r>
      <w:r w:rsidR="00E31919" w:rsidRPr="00785F8C">
        <w:rPr>
          <w:rFonts w:ascii="Times New Roman" w:hAnsi="Times New Roman" w:cs="Times New Roman"/>
          <w:sz w:val="24"/>
          <w:szCs w:val="24"/>
        </w:rPr>
        <w:t xml:space="preserve"> and investor consequences of the enhanced auditor’s report</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International Journal of Auditing</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26</w:t>
      </w:r>
      <w:r w:rsidRPr="00785F8C">
        <w:rPr>
          <w:rFonts w:ascii="Times New Roman" w:hAnsi="Times New Roman" w:cs="Times New Roman"/>
          <w:sz w:val="24"/>
          <w:szCs w:val="24"/>
        </w:rPr>
        <w:t>(2), 134–150. https://doi.org/10.1111/ijau.12255</w:t>
      </w:r>
    </w:p>
    <w:p w14:paraId="07386D7B" w14:textId="7D01A538"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5" w:name="Alverina"/>
      <w:r w:rsidRPr="00785F8C">
        <w:rPr>
          <w:rFonts w:ascii="Times New Roman" w:hAnsi="Times New Roman" w:cs="Times New Roman"/>
          <w:sz w:val="24"/>
          <w:szCs w:val="24"/>
        </w:rPr>
        <w:t>Alverina</w:t>
      </w:r>
      <w:bookmarkEnd w:id="5"/>
      <w:r w:rsidRPr="00785F8C">
        <w:rPr>
          <w:rFonts w:ascii="Times New Roman" w:hAnsi="Times New Roman" w:cs="Times New Roman"/>
          <w:sz w:val="24"/>
          <w:szCs w:val="24"/>
        </w:rPr>
        <w:t xml:space="preserve">, G. C. A., &amp; Hadiprajitno, P. T. B. (2022). </w:t>
      </w:r>
      <w:r w:rsidR="00E31919" w:rsidRPr="00785F8C">
        <w:rPr>
          <w:rFonts w:ascii="Times New Roman" w:hAnsi="Times New Roman" w:cs="Times New Roman"/>
          <w:sz w:val="24"/>
          <w:szCs w:val="24"/>
        </w:rPr>
        <w:t>Pengaruh profitabilitas, financial distress, ukuran perusahaan, reputasi auditor dan opini audit terhadap audit report lag</w:t>
      </w:r>
      <w:r w:rsidRPr="00785F8C">
        <w:rPr>
          <w:rFonts w:ascii="Times New Roman" w:hAnsi="Times New Roman" w:cs="Times New Roman"/>
          <w:sz w:val="24"/>
          <w:szCs w:val="24"/>
        </w:rPr>
        <w:t xml:space="preserve">. </w:t>
      </w:r>
      <w:r w:rsidR="00E31919" w:rsidRPr="00785F8C">
        <w:rPr>
          <w:rFonts w:ascii="Times New Roman" w:hAnsi="Times New Roman" w:cs="Times New Roman"/>
          <w:i/>
          <w:iCs/>
          <w:sz w:val="24"/>
          <w:szCs w:val="24"/>
        </w:rPr>
        <w:t xml:space="preserve">Diponegoro Journal Of Accounting </w:t>
      </w:r>
      <w:r w:rsidRPr="00785F8C">
        <w:rPr>
          <w:rFonts w:ascii="Times New Roman" w:hAnsi="Times New Roman" w:cs="Times New Roman"/>
          <w:i/>
          <w:iCs/>
          <w:sz w:val="24"/>
          <w:szCs w:val="24"/>
        </w:rPr>
        <w:t>11</w:t>
      </w:r>
      <w:r w:rsidRPr="00785F8C">
        <w:rPr>
          <w:rFonts w:ascii="Times New Roman" w:hAnsi="Times New Roman" w:cs="Times New Roman"/>
          <w:sz w:val="24"/>
          <w:szCs w:val="24"/>
        </w:rPr>
        <w:t>(1)</w:t>
      </w:r>
      <w:r w:rsidR="00E31919" w:rsidRPr="00785F8C">
        <w:rPr>
          <w:rFonts w:ascii="Times New Roman" w:hAnsi="Times New Roman" w:cs="Times New Roman"/>
          <w:sz w:val="24"/>
          <w:szCs w:val="24"/>
        </w:rPr>
        <w:t>, 1-13</w:t>
      </w:r>
      <w:r w:rsidRPr="00785F8C">
        <w:rPr>
          <w:rFonts w:ascii="Times New Roman" w:hAnsi="Times New Roman" w:cs="Times New Roman"/>
          <w:sz w:val="24"/>
          <w:szCs w:val="24"/>
        </w:rPr>
        <w:t>.</w:t>
      </w:r>
    </w:p>
    <w:p w14:paraId="1ACCB59E" w14:textId="77777777"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6" w:name="Asbahr"/>
      <w:r w:rsidRPr="00785F8C">
        <w:rPr>
          <w:rFonts w:ascii="Times New Roman" w:hAnsi="Times New Roman" w:cs="Times New Roman"/>
          <w:sz w:val="24"/>
          <w:szCs w:val="24"/>
        </w:rPr>
        <w:t>Asbahr</w:t>
      </w:r>
      <w:bookmarkEnd w:id="6"/>
      <w:r w:rsidRPr="00785F8C">
        <w:rPr>
          <w:rFonts w:ascii="Times New Roman" w:hAnsi="Times New Roman" w:cs="Times New Roman"/>
          <w:sz w:val="24"/>
          <w:szCs w:val="24"/>
        </w:rPr>
        <w:t xml:space="preserve">, K., &amp; Ruhnke, K. (2019). Real effects of reporting key audit matters on auditors’ judgment and choice of action. </w:t>
      </w:r>
      <w:r w:rsidRPr="00785F8C">
        <w:rPr>
          <w:rFonts w:ascii="Times New Roman" w:hAnsi="Times New Roman" w:cs="Times New Roman"/>
          <w:i/>
          <w:iCs/>
          <w:sz w:val="24"/>
          <w:szCs w:val="24"/>
        </w:rPr>
        <w:t>International Journal of Auditing</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23</w:t>
      </w:r>
      <w:r w:rsidRPr="00785F8C">
        <w:rPr>
          <w:rFonts w:ascii="Times New Roman" w:hAnsi="Times New Roman" w:cs="Times New Roman"/>
          <w:sz w:val="24"/>
          <w:szCs w:val="24"/>
        </w:rPr>
        <w:t>(2), 165–180. https://doi.org/10.1111/ijau.12154</w:t>
      </w:r>
    </w:p>
    <w:p w14:paraId="3A602F23" w14:textId="662E513B"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7" w:name="Baatwah"/>
      <w:r w:rsidRPr="00785F8C">
        <w:rPr>
          <w:rFonts w:ascii="Times New Roman" w:hAnsi="Times New Roman" w:cs="Times New Roman"/>
          <w:sz w:val="24"/>
          <w:szCs w:val="24"/>
        </w:rPr>
        <w:t>Baatwah</w:t>
      </w:r>
      <w:bookmarkEnd w:id="7"/>
      <w:r w:rsidRPr="00785F8C">
        <w:rPr>
          <w:rFonts w:ascii="Times New Roman" w:hAnsi="Times New Roman" w:cs="Times New Roman"/>
          <w:sz w:val="24"/>
          <w:szCs w:val="24"/>
        </w:rPr>
        <w:t xml:space="preserve">, S. R., Almoataz, E. S., Omer, W. K. H., &amp; Aljaaidi, K. S. (2022). Does KAM </w:t>
      </w:r>
      <w:r w:rsidR="00E31919" w:rsidRPr="00785F8C">
        <w:rPr>
          <w:rFonts w:ascii="Times New Roman" w:hAnsi="Times New Roman" w:cs="Times New Roman"/>
          <w:sz w:val="24"/>
          <w:szCs w:val="24"/>
        </w:rPr>
        <w:t xml:space="preserve">disclosure make a difference in emerging markets? </w:t>
      </w:r>
      <w:r w:rsidR="00B355AF" w:rsidRPr="00785F8C">
        <w:rPr>
          <w:rFonts w:ascii="Times New Roman" w:hAnsi="Times New Roman" w:cs="Times New Roman"/>
          <w:sz w:val="24"/>
          <w:szCs w:val="24"/>
        </w:rPr>
        <w:t>A</w:t>
      </w:r>
      <w:r w:rsidR="00E31919" w:rsidRPr="00785F8C">
        <w:rPr>
          <w:rFonts w:ascii="Times New Roman" w:hAnsi="Times New Roman" w:cs="Times New Roman"/>
          <w:sz w:val="24"/>
          <w:szCs w:val="24"/>
        </w:rPr>
        <w:t>n investigation into audit fees and report lag</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International Journal of Emerging Markets</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19</w:t>
      </w:r>
      <w:r w:rsidRPr="00785F8C">
        <w:rPr>
          <w:rFonts w:ascii="Times New Roman" w:hAnsi="Times New Roman" w:cs="Times New Roman"/>
          <w:sz w:val="24"/>
          <w:szCs w:val="24"/>
        </w:rPr>
        <w:t>(3), 798–821. https://doi.org/10.1108/ijoem-10-2021-1606</w:t>
      </w:r>
    </w:p>
    <w:p w14:paraId="16FD2929" w14:textId="36844258"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8" w:name="Brouwer"/>
      <w:r w:rsidRPr="00785F8C">
        <w:rPr>
          <w:rFonts w:ascii="Times New Roman" w:hAnsi="Times New Roman" w:cs="Times New Roman"/>
          <w:sz w:val="24"/>
          <w:szCs w:val="24"/>
        </w:rPr>
        <w:t>Brouwer</w:t>
      </w:r>
      <w:bookmarkEnd w:id="8"/>
      <w:r w:rsidRPr="00785F8C">
        <w:rPr>
          <w:rFonts w:ascii="Times New Roman" w:hAnsi="Times New Roman" w:cs="Times New Roman"/>
          <w:sz w:val="24"/>
          <w:szCs w:val="24"/>
        </w:rPr>
        <w:t xml:space="preserve">, A., Eimers, P., &amp; Langendijk, H. P. (2016). </w:t>
      </w:r>
      <w:r w:rsidR="009D1A3E" w:rsidRPr="00785F8C">
        <w:rPr>
          <w:rFonts w:ascii="Times New Roman" w:hAnsi="Times New Roman" w:cs="Times New Roman"/>
          <w:sz w:val="24"/>
          <w:szCs w:val="24"/>
        </w:rPr>
        <w:t>The relationship between key audit matters in the new auditor’s report and the risks reported in the management report and the estimates and judgments in the notes to the financial statements</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Maandblad Voor Accountancy En Bedrijfseconomie</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90</w:t>
      </w:r>
      <w:r w:rsidRPr="00785F8C">
        <w:rPr>
          <w:rFonts w:ascii="Times New Roman" w:hAnsi="Times New Roman" w:cs="Times New Roman"/>
          <w:sz w:val="24"/>
          <w:szCs w:val="24"/>
        </w:rPr>
        <w:t>(12), 580–613. https://doi.org/10.5117/mab.90.31228</w:t>
      </w:r>
    </w:p>
    <w:p w14:paraId="0920BC66" w14:textId="11560A85"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9" w:name="Gen"/>
      <w:r w:rsidRPr="00785F8C">
        <w:rPr>
          <w:rFonts w:ascii="Times New Roman" w:hAnsi="Times New Roman" w:cs="Times New Roman"/>
          <w:sz w:val="24"/>
          <w:szCs w:val="24"/>
        </w:rPr>
        <w:t>Gen</w:t>
      </w:r>
      <w:bookmarkEnd w:id="9"/>
      <w:r w:rsidRPr="00785F8C">
        <w:rPr>
          <w:rFonts w:ascii="Times New Roman" w:hAnsi="Times New Roman" w:cs="Times New Roman"/>
          <w:sz w:val="24"/>
          <w:szCs w:val="24"/>
        </w:rPr>
        <w:t xml:space="preserve">ç, E. G., &amp; </w:t>
      </w:r>
      <w:r w:rsidR="009D1A3E" w:rsidRPr="00785F8C">
        <w:rPr>
          <w:rFonts w:ascii="Times New Roman" w:hAnsi="Times New Roman" w:cs="Times New Roman"/>
          <w:sz w:val="24"/>
          <w:szCs w:val="24"/>
        </w:rPr>
        <w:t>Erdem</w:t>
      </w:r>
      <w:r w:rsidRPr="00785F8C">
        <w:rPr>
          <w:rFonts w:ascii="Times New Roman" w:hAnsi="Times New Roman" w:cs="Times New Roman"/>
          <w:sz w:val="24"/>
          <w:szCs w:val="24"/>
        </w:rPr>
        <w:t xml:space="preserve">, B. (2021). </w:t>
      </w:r>
      <w:r w:rsidR="009D1A3E" w:rsidRPr="00785F8C">
        <w:rPr>
          <w:rFonts w:ascii="Times New Roman" w:hAnsi="Times New Roman" w:cs="Times New Roman"/>
          <w:sz w:val="24"/>
          <w:szCs w:val="24"/>
        </w:rPr>
        <w:t xml:space="preserve">The analysis of the relationship between key audit matters (KAM) and firm characteristics: the case of </w:t>
      </w:r>
      <w:r w:rsidR="009C0357" w:rsidRPr="00785F8C">
        <w:rPr>
          <w:rFonts w:ascii="Times New Roman" w:hAnsi="Times New Roman" w:cs="Times New Roman"/>
          <w:sz w:val="24"/>
          <w:szCs w:val="24"/>
        </w:rPr>
        <w:t>T</w:t>
      </w:r>
      <w:r w:rsidR="009D1A3E" w:rsidRPr="00785F8C">
        <w:rPr>
          <w:rFonts w:ascii="Times New Roman" w:hAnsi="Times New Roman" w:cs="Times New Roman"/>
          <w:sz w:val="24"/>
          <w:szCs w:val="24"/>
        </w:rPr>
        <w:t>urkey</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Emaj Emerging Markets Journal</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11</w:t>
      </w:r>
      <w:r w:rsidRPr="00785F8C">
        <w:rPr>
          <w:rFonts w:ascii="Times New Roman" w:hAnsi="Times New Roman" w:cs="Times New Roman"/>
          <w:sz w:val="24"/>
          <w:szCs w:val="24"/>
        </w:rPr>
        <w:t>(1), 60–66. https://doi.org/10.5195/emaj.2021.219</w:t>
      </w:r>
    </w:p>
    <w:p w14:paraId="47E858DD" w14:textId="4C8B213C"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10" w:name="Gold"/>
      <w:r w:rsidRPr="00785F8C">
        <w:rPr>
          <w:rFonts w:ascii="Times New Roman" w:hAnsi="Times New Roman" w:cs="Times New Roman"/>
          <w:sz w:val="24"/>
          <w:szCs w:val="24"/>
        </w:rPr>
        <w:t>Gold</w:t>
      </w:r>
      <w:bookmarkEnd w:id="10"/>
      <w:r w:rsidRPr="00785F8C">
        <w:rPr>
          <w:rFonts w:ascii="Times New Roman" w:hAnsi="Times New Roman" w:cs="Times New Roman"/>
          <w:sz w:val="24"/>
          <w:szCs w:val="24"/>
        </w:rPr>
        <w:t xml:space="preserve">, A., &amp; Heilmann, M. (2019). </w:t>
      </w:r>
      <w:r w:rsidR="009D1A3E" w:rsidRPr="00785F8C">
        <w:rPr>
          <w:rFonts w:ascii="Times New Roman" w:hAnsi="Times New Roman" w:cs="Times New Roman"/>
          <w:sz w:val="24"/>
          <w:szCs w:val="24"/>
        </w:rPr>
        <w:t>The consequences of disclosing key audit matters (</w:t>
      </w:r>
      <w:r w:rsidR="00BE4252" w:rsidRPr="00785F8C">
        <w:rPr>
          <w:rFonts w:ascii="Times New Roman" w:hAnsi="Times New Roman" w:cs="Times New Roman"/>
          <w:sz w:val="24"/>
          <w:szCs w:val="24"/>
        </w:rPr>
        <w:t>KAM</w:t>
      </w:r>
      <w:r w:rsidR="009D1A3E" w:rsidRPr="00785F8C">
        <w:rPr>
          <w:rFonts w:ascii="Times New Roman" w:hAnsi="Times New Roman" w:cs="Times New Roman"/>
          <w:sz w:val="24"/>
          <w:szCs w:val="24"/>
        </w:rPr>
        <w:t>): a review of the academic literature</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Maandblad Voor Accountancy En Bedrijfseconomie</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93</w:t>
      </w:r>
      <w:r w:rsidRPr="00785F8C">
        <w:rPr>
          <w:rFonts w:ascii="Times New Roman" w:hAnsi="Times New Roman" w:cs="Times New Roman"/>
          <w:sz w:val="24"/>
          <w:szCs w:val="24"/>
        </w:rPr>
        <w:t>(1/2), 5–14. https://doi.org/10.5117/mab.93.29496</w:t>
      </w:r>
    </w:p>
    <w:p w14:paraId="37A5FEE3" w14:textId="2CDE52EE"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11" w:name="Jogiyanto"/>
      <w:r w:rsidRPr="00785F8C">
        <w:rPr>
          <w:rFonts w:ascii="Times New Roman" w:hAnsi="Times New Roman" w:cs="Times New Roman"/>
          <w:sz w:val="24"/>
          <w:szCs w:val="24"/>
        </w:rPr>
        <w:t>Jogiyanto</w:t>
      </w:r>
      <w:bookmarkEnd w:id="11"/>
      <w:r w:rsidRPr="00785F8C">
        <w:rPr>
          <w:rFonts w:ascii="Times New Roman" w:hAnsi="Times New Roman" w:cs="Times New Roman"/>
          <w:sz w:val="24"/>
          <w:szCs w:val="24"/>
        </w:rPr>
        <w:t xml:space="preserve">. (2017). </w:t>
      </w:r>
      <w:r w:rsidRPr="00785F8C">
        <w:rPr>
          <w:rFonts w:ascii="Times New Roman" w:hAnsi="Times New Roman" w:cs="Times New Roman"/>
          <w:i/>
          <w:iCs/>
          <w:sz w:val="24"/>
          <w:szCs w:val="24"/>
        </w:rPr>
        <w:t xml:space="preserve">Teori </w:t>
      </w:r>
      <w:r w:rsidR="009D1A3E" w:rsidRPr="00785F8C">
        <w:rPr>
          <w:rFonts w:ascii="Times New Roman" w:hAnsi="Times New Roman" w:cs="Times New Roman"/>
          <w:i/>
          <w:iCs/>
          <w:sz w:val="24"/>
          <w:szCs w:val="24"/>
        </w:rPr>
        <w:t>p</w:t>
      </w:r>
      <w:r w:rsidRPr="00785F8C">
        <w:rPr>
          <w:rFonts w:ascii="Times New Roman" w:hAnsi="Times New Roman" w:cs="Times New Roman"/>
          <w:i/>
          <w:iCs/>
          <w:sz w:val="24"/>
          <w:szCs w:val="24"/>
        </w:rPr>
        <w:t xml:space="preserve">ortofolio dan </w:t>
      </w:r>
      <w:r w:rsidR="009D1A3E" w:rsidRPr="00785F8C">
        <w:rPr>
          <w:rFonts w:ascii="Times New Roman" w:hAnsi="Times New Roman" w:cs="Times New Roman"/>
          <w:i/>
          <w:iCs/>
          <w:sz w:val="24"/>
          <w:szCs w:val="24"/>
        </w:rPr>
        <w:t>a</w:t>
      </w:r>
      <w:r w:rsidRPr="00785F8C">
        <w:rPr>
          <w:rFonts w:ascii="Times New Roman" w:hAnsi="Times New Roman" w:cs="Times New Roman"/>
          <w:i/>
          <w:iCs/>
          <w:sz w:val="24"/>
          <w:szCs w:val="24"/>
        </w:rPr>
        <w:t xml:space="preserve">nalisis </w:t>
      </w:r>
      <w:r w:rsidR="009D1A3E" w:rsidRPr="00785F8C">
        <w:rPr>
          <w:rFonts w:ascii="Times New Roman" w:hAnsi="Times New Roman" w:cs="Times New Roman"/>
          <w:i/>
          <w:iCs/>
          <w:sz w:val="24"/>
          <w:szCs w:val="24"/>
        </w:rPr>
        <w:t>i</w:t>
      </w:r>
      <w:r w:rsidRPr="00785F8C">
        <w:rPr>
          <w:rFonts w:ascii="Times New Roman" w:hAnsi="Times New Roman" w:cs="Times New Roman"/>
          <w:i/>
          <w:iCs/>
          <w:sz w:val="24"/>
          <w:szCs w:val="24"/>
        </w:rPr>
        <w:t>nvestasi</w:t>
      </w:r>
      <w:r w:rsidRPr="00785F8C">
        <w:rPr>
          <w:rFonts w:ascii="Times New Roman" w:hAnsi="Times New Roman" w:cs="Times New Roman"/>
          <w:sz w:val="24"/>
          <w:szCs w:val="24"/>
        </w:rPr>
        <w:t xml:space="preserve"> (11th ed.). BPFE</w:t>
      </w:r>
      <w:r w:rsidR="009D1A3E" w:rsidRPr="00785F8C">
        <w:rPr>
          <w:rFonts w:ascii="Times New Roman" w:hAnsi="Times New Roman" w:cs="Times New Roman"/>
          <w:sz w:val="24"/>
          <w:szCs w:val="24"/>
        </w:rPr>
        <w:t>:</w:t>
      </w:r>
      <w:r w:rsidR="009C0357" w:rsidRPr="00785F8C">
        <w:rPr>
          <w:rFonts w:ascii="Times New Roman" w:hAnsi="Times New Roman" w:cs="Times New Roman"/>
          <w:sz w:val="24"/>
          <w:szCs w:val="24"/>
        </w:rPr>
        <w:t xml:space="preserve"> </w:t>
      </w:r>
      <w:r w:rsidR="009D1A3E" w:rsidRPr="00785F8C">
        <w:rPr>
          <w:rFonts w:ascii="Times New Roman" w:hAnsi="Times New Roman" w:cs="Times New Roman"/>
          <w:sz w:val="24"/>
          <w:szCs w:val="24"/>
        </w:rPr>
        <w:t>Yogyakarta</w:t>
      </w:r>
      <w:r w:rsidRPr="00785F8C">
        <w:rPr>
          <w:rFonts w:ascii="Times New Roman" w:hAnsi="Times New Roman" w:cs="Times New Roman"/>
          <w:sz w:val="24"/>
          <w:szCs w:val="24"/>
        </w:rPr>
        <w:t>.</w:t>
      </w:r>
    </w:p>
    <w:p w14:paraId="763013D1" w14:textId="3769342D"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12" w:name="Kend"/>
      <w:r w:rsidRPr="00785F8C">
        <w:rPr>
          <w:rFonts w:ascii="Times New Roman" w:hAnsi="Times New Roman" w:cs="Times New Roman"/>
          <w:sz w:val="24"/>
          <w:szCs w:val="24"/>
        </w:rPr>
        <w:t>Kend</w:t>
      </w:r>
      <w:bookmarkEnd w:id="12"/>
      <w:r w:rsidRPr="00785F8C">
        <w:rPr>
          <w:rFonts w:ascii="Times New Roman" w:hAnsi="Times New Roman" w:cs="Times New Roman"/>
          <w:sz w:val="24"/>
          <w:szCs w:val="24"/>
        </w:rPr>
        <w:t xml:space="preserve">, M., &amp; Nguyen, L. A. (2022). </w:t>
      </w:r>
      <w:r w:rsidR="009D1A3E" w:rsidRPr="00785F8C">
        <w:rPr>
          <w:rFonts w:ascii="Times New Roman" w:hAnsi="Times New Roman" w:cs="Times New Roman"/>
          <w:sz w:val="24"/>
          <w:szCs w:val="24"/>
        </w:rPr>
        <w:t xml:space="preserve">Key audit risks and audit procedures during the initial year of the </w:t>
      </w:r>
      <w:r w:rsidR="009C0357" w:rsidRPr="00785F8C">
        <w:rPr>
          <w:rFonts w:ascii="Times New Roman" w:hAnsi="Times New Roman" w:cs="Times New Roman"/>
          <w:sz w:val="24"/>
          <w:szCs w:val="24"/>
        </w:rPr>
        <w:t>COVID</w:t>
      </w:r>
      <w:r w:rsidR="009D1A3E" w:rsidRPr="00785F8C">
        <w:rPr>
          <w:rFonts w:ascii="Times New Roman" w:hAnsi="Times New Roman" w:cs="Times New Roman"/>
          <w:sz w:val="24"/>
          <w:szCs w:val="24"/>
        </w:rPr>
        <w:t xml:space="preserve">-19 pandemic: an analysis of audit reports </w:t>
      </w:r>
      <w:r w:rsidRPr="00785F8C">
        <w:rPr>
          <w:rFonts w:ascii="Times New Roman" w:hAnsi="Times New Roman" w:cs="Times New Roman"/>
          <w:sz w:val="24"/>
          <w:szCs w:val="24"/>
        </w:rPr>
        <w:t xml:space="preserve">2019-2020. </w:t>
      </w:r>
      <w:r w:rsidRPr="00785F8C">
        <w:rPr>
          <w:rFonts w:ascii="Times New Roman" w:hAnsi="Times New Roman" w:cs="Times New Roman"/>
          <w:i/>
          <w:iCs/>
          <w:sz w:val="24"/>
          <w:szCs w:val="24"/>
        </w:rPr>
        <w:t>Managerial Auditing Journal</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37</w:t>
      </w:r>
      <w:r w:rsidRPr="00785F8C">
        <w:rPr>
          <w:rFonts w:ascii="Times New Roman" w:hAnsi="Times New Roman" w:cs="Times New Roman"/>
          <w:sz w:val="24"/>
          <w:szCs w:val="24"/>
        </w:rPr>
        <w:t>(7), 798–818. https://doi.org/10.1108/maj-07-2021-3225</w:t>
      </w:r>
    </w:p>
    <w:p w14:paraId="2D753276" w14:textId="5CE644C5"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13" w:name="Khakhanaev"/>
      <w:r w:rsidRPr="00785F8C">
        <w:rPr>
          <w:rFonts w:ascii="Times New Roman" w:hAnsi="Times New Roman" w:cs="Times New Roman"/>
          <w:sz w:val="24"/>
          <w:szCs w:val="24"/>
        </w:rPr>
        <w:lastRenderedPageBreak/>
        <w:t>Khakhanaev</w:t>
      </w:r>
      <w:bookmarkEnd w:id="13"/>
      <w:r w:rsidRPr="00785F8C">
        <w:rPr>
          <w:rFonts w:ascii="Times New Roman" w:hAnsi="Times New Roman" w:cs="Times New Roman"/>
          <w:sz w:val="24"/>
          <w:szCs w:val="24"/>
        </w:rPr>
        <w:t xml:space="preserve">, U. S.-E. (2019). </w:t>
      </w:r>
      <w:r w:rsidR="009D1A3E" w:rsidRPr="00785F8C">
        <w:rPr>
          <w:rFonts w:ascii="Times New Roman" w:hAnsi="Times New Roman" w:cs="Times New Roman"/>
          <w:sz w:val="24"/>
          <w:szCs w:val="24"/>
        </w:rPr>
        <w:t>The study into factors reducing investment project financing risks</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Digest Finance</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24</w:t>
      </w:r>
      <w:r w:rsidRPr="00785F8C">
        <w:rPr>
          <w:rFonts w:ascii="Times New Roman" w:hAnsi="Times New Roman" w:cs="Times New Roman"/>
          <w:sz w:val="24"/>
          <w:szCs w:val="24"/>
        </w:rPr>
        <w:t>(4), 395–402. https://doi.org/10.24891/df.24.4.395</w:t>
      </w:r>
    </w:p>
    <w:p w14:paraId="041DA453" w14:textId="18F6C6C1"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14" w:name="Li"/>
      <w:r w:rsidRPr="00785F8C">
        <w:rPr>
          <w:rFonts w:ascii="Times New Roman" w:hAnsi="Times New Roman" w:cs="Times New Roman"/>
          <w:sz w:val="24"/>
          <w:szCs w:val="24"/>
        </w:rPr>
        <w:t>Li</w:t>
      </w:r>
      <w:bookmarkEnd w:id="14"/>
      <w:r w:rsidRPr="00785F8C">
        <w:rPr>
          <w:rFonts w:ascii="Times New Roman" w:hAnsi="Times New Roman" w:cs="Times New Roman"/>
          <w:sz w:val="24"/>
          <w:szCs w:val="24"/>
        </w:rPr>
        <w:t xml:space="preserve">, X. (2015). Research </w:t>
      </w:r>
      <w:r w:rsidR="009D1A3E" w:rsidRPr="00785F8C">
        <w:rPr>
          <w:rFonts w:ascii="Times New Roman" w:hAnsi="Times New Roman" w:cs="Times New Roman"/>
          <w:sz w:val="24"/>
          <w:szCs w:val="24"/>
        </w:rPr>
        <w:t>on financial risk management based on var model</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The Open Cybernetics &amp; Systemics Journal</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9</w:t>
      </w:r>
      <w:r w:rsidRPr="00785F8C">
        <w:rPr>
          <w:rFonts w:ascii="Times New Roman" w:hAnsi="Times New Roman" w:cs="Times New Roman"/>
          <w:sz w:val="24"/>
          <w:szCs w:val="24"/>
        </w:rPr>
        <w:t>(1), 1849–1852. https://doi.org/10.2174/1874110x01509011849</w:t>
      </w:r>
    </w:p>
    <w:p w14:paraId="0035B443" w14:textId="6094970A"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15" w:name="Longyuan"/>
      <w:r w:rsidRPr="00785F8C">
        <w:rPr>
          <w:rFonts w:ascii="Times New Roman" w:hAnsi="Times New Roman" w:cs="Times New Roman"/>
          <w:sz w:val="24"/>
          <w:szCs w:val="24"/>
        </w:rPr>
        <w:t>Longyuan</w:t>
      </w:r>
      <w:bookmarkEnd w:id="15"/>
      <w:r w:rsidRPr="00785F8C">
        <w:rPr>
          <w:rFonts w:ascii="Times New Roman" w:hAnsi="Times New Roman" w:cs="Times New Roman"/>
          <w:sz w:val="24"/>
          <w:szCs w:val="24"/>
        </w:rPr>
        <w:t xml:space="preserve">, S., Zhang, Y., &amp; Chun-yu, X. (2022). Research </w:t>
      </w:r>
      <w:r w:rsidR="009D1A3E" w:rsidRPr="00785F8C">
        <w:rPr>
          <w:rFonts w:ascii="Times New Roman" w:hAnsi="Times New Roman" w:cs="Times New Roman"/>
          <w:sz w:val="24"/>
          <w:szCs w:val="24"/>
        </w:rPr>
        <w:t xml:space="preserve">on influencing factors of key audit matters disclosure in </w:t>
      </w:r>
      <w:r w:rsidR="009C0357" w:rsidRPr="00785F8C">
        <w:rPr>
          <w:rFonts w:ascii="Times New Roman" w:hAnsi="Times New Roman" w:cs="Times New Roman"/>
          <w:sz w:val="24"/>
          <w:szCs w:val="24"/>
        </w:rPr>
        <w:t>C</w:t>
      </w:r>
      <w:r w:rsidR="009D1A3E" w:rsidRPr="00785F8C">
        <w:rPr>
          <w:rFonts w:ascii="Times New Roman" w:hAnsi="Times New Roman" w:cs="Times New Roman"/>
          <w:sz w:val="24"/>
          <w:szCs w:val="24"/>
        </w:rPr>
        <w:t>hina</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International Journal of Innovative Research and Development</w:t>
      </w:r>
      <w:r w:rsidRPr="00785F8C">
        <w:rPr>
          <w:rFonts w:ascii="Times New Roman" w:hAnsi="Times New Roman" w:cs="Times New Roman"/>
          <w:sz w:val="24"/>
          <w:szCs w:val="24"/>
        </w:rPr>
        <w:t>. https://doi.org/10.24940/ijird/2022/v11/i9/sep22010</w:t>
      </w:r>
    </w:p>
    <w:p w14:paraId="275112FB" w14:textId="0EE70242"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16" w:name="Maani"/>
      <w:r w:rsidRPr="00785F8C">
        <w:rPr>
          <w:rFonts w:ascii="Times New Roman" w:hAnsi="Times New Roman" w:cs="Times New Roman"/>
          <w:sz w:val="24"/>
          <w:szCs w:val="24"/>
        </w:rPr>
        <w:t>Maani</w:t>
      </w:r>
      <w:bookmarkEnd w:id="16"/>
      <w:r w:rsidRPr="00785F8C">
        <w:rPr>
          <w:rFonts w:ascii="Times New Roman" w:hAnsi="Times New Roman" w:cs="Times New Roman"/>
          <w:sz w:val="24"/>
          <w:szCs w:val="24"/>
        </w:rPr>
        <w:t xml:space="preserve">, A. A., Buraik, O., Al-Amarneh, A., &amp; Almashaqbeh, M. (2024). </w:t>
      </w:r>
      <w:r w:rsidR="009D1A3E" w:rsidRPr="00785F8C">
        <w:rPr>
          <w:rFonts w:ascii="Times New Roman" w:hAnsi="Times New Roman" w:cs="Times New Roman"/>
          <w:sz w:val="24"/>
          <w:szCs w:val="24"/>
        </w:rPr>
        <w:t xml:space="preserve">The effect of the audit committee on the voluntary risk disclosure in </w:t>
      </w:r>
      <w:r w:rsidR="009C0357" w:rsidRPr="00785F8C">
        <w:rPr>
          <w:rFonts w:ascii="Times New Roman" w:hAnsi="Times New Roman" w:cs="Times New Roman"/>
          <w:sz w:val="24"/>
          <w:szCs w:val="24"/>
        </w:rPr>
        <w:t>J</w:t>
      </w:r>
      <w:r w:rsidR="009D1A3E" w:rsidRPr="00785F8C">
        <w:rPr>
          <w:rFonts w:ascii="Times New Roman" w:hAnsi="Times New Roman" w:cs="Times New Roman"/>
          <w:sz w:val="24"/>
          <w:szCs w:val="24"/>
        </w:rPr>
        <w:t>ordanian commercial banks: the moderating role of family ownership</w:t>
      </w:r>
      <w:r w:rsidRPr="00785F8C">
        <w:rPr>
          <w:rFonts w:ascii="Times New Roman" w:hAnsi="Times New Roman" w:cs="Times New Roman"/>
          <w:i/>
          <w:iCs/>
          <w:sz w:val="24"/>
          <w:szCs w:val="24"/>
        </w:rPr>
        <w:t>.</w:t>
      </w:r>
      <w:r w:rsidRPr="00785F8C">
        <w:rPr>
          <w:rFonts w:ascii="Times New Roman" w:hAnsi="Times New Roman" w:cs="Times New Roman"/>
          <w:sz w:val="24"/>
          <w:szCs w:val="24"/>
        </w:rPr>
        <w:t xml:space="preserve"> https://doi.org/10.20944/preprints202408.0667.v1</w:t>
      </w:r>
    </w:p>
    <w:p w14:paraId="6C51FA34" w14:textId="012C5D4F"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17" w:name="Mathew"/>
      <w:r w:rsidRPr="00785F8C">
        <w:rPr>
          <w:rFonts w:ascii="Times New Roman" w:hAnsi="Times New Roman" w:cs="Times New Roman"/>
          <w:sz w:val="24"/>
          <w:szCs w:val="24"/>
        </w:rPr>
        <w:t>Mathew</w:t>
      </w:r>
      <w:bookmarkEnd w:id="17"/>
      <w:r w:rsidRPr="00785F8C">
        <w:rPr>
          <w:rFonts w:ascii="Times New Roman" w:hAnsi="Times New Roman" w:cs="Times New Roman"/>
          <w:sz w:val="24"/>
          <w:szCs w:val="24"/>
        </w:rPr>
        <w:t xml:space="preserve">, S. K. (2011). Mitigation </w:t>
      </w:r>
      <w:r w:rsidR="009D1A3E" w:rsidRPr="00785F8C">
        <w:rPr>
          <w:rFonts w:ascii="Times New Roman" w:hAnsi="Times New Roman" w:cs="Times New Roman"/>
          <w:sz w:val="24"/>
          <w:szCs w:val="24"/>
        </w:rPr>
        <w:t>of risks due to service provider behavior in offshore software development</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Strategic Outsourcing an International Journal</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4</w:t>
      </w:r>
      <w:r w:rsidRPr="00785F8C">
        <w:rPr>
          <w:rFonts w:ascii="Times New Roman" w:hAnsi="Times New Roman" w:cs="Times New Roman"/>
          <w:sz w:val="24"/>
          <w:szCs w:val="24"/>
        </w:rPr>
        <w:t>(2), 179–200. https://doi.org/10.1108/17538291111148008</w:t>
      </w:r>
    </w:p>
    <w:p w14:paraId="1FF88F02" w14:textId="6440EF65"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18" w:name="Matta"/>
      <w:r w:rsidRPr="00785F8C">
        <w:rPr>
          <w:rFonts w:ascii="Times New Roman" w:hAnsi="Times New Roman" w:cs="Times New Roman"/>
          <w:sz w:val="24"/>
          <w:szCs w:val="24"/>
        </w:rPr>
        <w:t>Matta</w:t>
      </w:r>
      <w:bookmarkEnd w:id="18"/>
      <w:r w:rsidRPr="00785F8C">
        <w:rPr>
          <w:rFonts w:ascii="Times New Roman" w:hAnsi="Times New Roman" w:cs="Times New Roman"/>
          <w:sz w:val="24"/>
          <w:szCs w:val="24"/>
        </w:rPr>
        <w:t>, J., &amp; Fegha</w:t>
      </w:r>
      <w:r w:rsidR="005A7A86" w:rsidRPr="00785F8C">
        <w:rPr>
          <w:rFonts w:ascii="Times New Roman" w:hAnsi="Times New Roman" w:cs="Times New Roman"/>
          <w:sz w:val="24"/>
          <w:szCs w:val="24"/>
        </w:rPr>
        <w:t xml:space="preserve">li, K. (2021). The </w:t>
      </w:r>
      <w:r w:rsidR="005A7A86" w:rsidRPr="00785F8C">
        <w:rPr>
          <w:rFonts w:ascii="Times New Roman" w:hAnsi="Times New Roman" w:cs="Times New Roman"/>
          <w:sz w:val="24"/>
          <w:szCs w:val="24"/>
          <w:lang w:val="id-ID"/>
        </w:rPr>
        <w:t>i</w:t>
      </w:r>
      <w:r w:rsidRPr="00785F8C">
        <w:rPr>
          <w:rFonts w:ascii="Times New Roman" w:hAnsi="Times New Roman" w:cs="Times New Roman"/>
          <w:sz w:val="24"/>
          <w:szCs w:val="24"/>
        </w:rPr>
        <w:t>mpact of Key Audit Matters (</w:t>
      </w:r>
      <w:r w:rsidR="00BE4252" w:rsidRPr="00785F8C">
        <w:rPr>
          <w:rFonts w:ascii="Times New Roman" w:hAnsi="Times New Roman" w:cs="Times New Roman"/>
          <w:sz w:val="24"/>
          <w:szCs w:val="24"/>
        </w:rPr>
        <w:t>KAM</w:t>
      </w:r>
      <w:r w:rsidR="005A7A86" w:rsidRPr="00785F8C">
        <w:rPr>
          <w:rFonts w:ascii="Times New Roman" w:hAnsi="Times New Roman" w:cs="Times New Roman"/>
          <w:sz w:val="24"/>
          <w:szCs w:val="24"/>
        </w:rPr>
        <w:t xml:space="preserve">) on </w:t>
      </w:r>
      <w:r w:rsidR="005A7A86" w:rsidRPr="00785F8C">
        <w:rPr>
          <w:rFonts w:ascii="Times New Roman" w:hAnsi="Times New Roman" w:cs="Times New Roman"/>
          <w:sz w:val="24"/>
          <w:szCs w:val="24"/>
          <w:lang w:val="id-ID"/>
        </w:rPr>
        <w:t>f</w:t>
      </w:r>
      <w:r w:rsidR="005A7A86" w:rsidRPr="00785F8C">
        <w:rPr>
          <w:rFonts w:ascii="Times New Roman" w:hAnsi="Times New Roman" w:cs="Times New Roman"/>
          <w:sz w:val="24"/>
          <w:szCs w:val="24"/>
        </w:rPr>
        <w:t xml:space="preserve">inancial </w:t>
      </w:r>
      <w:r w:rsidR="005A7A86" w:rsidRPr="00785F8C">
        <w:rPr>
          <w:rFonts w:ascii="Times New Roman" w:hAnsi="Times New Roman" w:cs="Times New Roman"/>
          <w:sz w:val="24"/>
          <w:szCs w:val="24"/>
          <w:lang w:val="id-ID"/>
        </w:rPr>
        <w:t>i</w:t>
      </w:r>
      <w:r w:rsidR="005A7A86" w:rsidRPr="00785F8C">
        <w:rPr>
          <w:rFonts w:ascii="Times New Roman" w:hAnsi="Times New Roman" w:cs="Times New Roman"/>
          <w:sz w:val="24"/>
          <w:szCs w:val="24"/>
        </w:rPr>
        <w:t xml:space="preserve">nformation </w:t>
      </w:r>
      <w:r w:rsidR="005A7A86" w:rsidRPr="00785F8C">
        <w:rPr>
          <w:rFonts w:ascii="Times New Roman" w:hAnsi="Times New Roman" w:cs="Times New Roman"/>
          <w:sz w:val="24"/>
          <w:szCs w:val="24"/>
          <w:lang w:val="id-ID"/>
        </w:rPr>
        <w:t>q</w:t>
      </w:r>
      <w:r w:rsidR="005A7A86" w:rsidRPr="00785F8C">
        <w:rPr>
          <w:rFonts w:ascii="Times New Roman" w:hAnsi="Times New Roman" w:cs="Times New Roman"/>
          <w:sz w:val="24"/>
          <w:szCs w:val="24"/>
        </w:rPr>
        <w:t xml:space="preserve">uality: Evidence </w:t>
      </w:r>
      <w:r w:rsidR="005A7A86" w:rsidRPr="00785F8C">
        <w:rPr>
          <w:rFonts w:ascii="Times New Roman" w:hAnsi="Times New Roman" w:cs="Times New Roman"/>
          <w:sz w:val="24"/>
          <w:szCs w:val="24"/>
          <w:lang w:val="id-ID"/>
        </w:rPr>
        <w:t>f</w:t>
      </w:r>
      <w:r w:rsidRPr="00785F8C">
        <w:rPr>
          <w:rFonts w:ascii="Times New Roman" w:hAnsi="Times New Roman" w:cs="Times New Roman"/>
          <w:sz w:val="24"/>
          <w:szCs w:val="24"/>
        </w:rPr>
        <w:t xml:space="preserve">rom Lebanon. </w:t>
      </w:r>
      <w:r w:rsidRPr="00785F8C">
        <w:rPr>
          <w:rFonts w:ascii="Times New Roman" w:hAnsi="Times New Roman" w:cs="Times New Roman"/>
          <w:i/>
          <w:iCs/>
          <w:sz w:val="24"/>
          <w:szCs w:val="24"/>
        </w:rPr>
        <w:t>Indonesian Management and Accounting Research</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19</w:t>
      </w:r>
      <w:r w:rsidRPr="00785F8C">
        <w:rPr>
          <w:rFonts w:ascii="Times New Roman" w:hAnsi="Times New Roman" w:cs="Times New Roman"/>
          <w:sz w:val="24"/>
          <w:szCs w:val="24"/>
        </w:rPr>
        <w:t>(2), 135–162. https://doi.org/10.25105/imar.v19i2.7328</w:t>
      </w:r>
    </w:p>
    <w:p w14:paraId="1D930BC8" w14:textId="31847BC5"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19" w:name="Mukhibad"/>
      <w:r w:rsidRPr="00785F8C">
        <w:rPr>
          <w:rFonts w:ascii="Times New Roman" w:hAnsi="Times New Roman" w:cs="Times New Roman"/>
          <w:sz w:val="24"/>
          <w:szCs w:val="24"/>
        </w:rPr>
        <w:t>Mukhibad</w:t>
      </w:r>
      <w:bookmarkEnd w:id="19"/>
      <w:r w:rsidRPr="00785F8C">
        <w:rPr>
          <w:rFonts w:ascii="Times New Roman" w:hAnsi="Times New Roman" w:cs="Times New Roman"/>
          <w:sz w:val="24"/>
          <w:szCs w:val="24"/>
        </w:rPr>
        <w:t xml:space="preserve">, H., Nurkhin, A., &amp; Rohman, A. (2020). Corporate </w:t>
      </w:r>
      <w:r w:rsidR="009D1A3E" w:rsidRPr="00785F8C">
        <w:rPr>
          <w:rFonts w:ascii="Times New Roman" w:hAnsi="Times New Roman" w:cs="Times New Roman"/>
          <w:sz w:val="24"/>
          <w:szCs w:val="24"/>
        </w:rPr>
        <w:t xml:space="preserve">governance mechanism and risk disclosure by </w:t>
      </w:r>
      <w:r w:rsidR="009C0357" w:rsidRPr="00785F8C">
        <w:rPr>
          <w:rFonts w:ascii="Times New Roman" w:hAnsi="Times New Roman" w:cs="Times New Roman"/>
          <w:sz w:val="24"/>
          <w:szCs w:val="24"/>
        </w:rPr>
        <w:t>I</w:t>
      </w:r>
      <w:r w:rsidR="009D1A3E" w:rsidRPr="00785F8C">
        <w:rPr>
          <w:rFonts w:ascii="Times New Roman" w:hAnsi="Times New Roman" w:cs="Times New Roman"/>
          <w:sz w:val="24"/>
          <w:szCs w:val="24"/>
        </w:rPr>
        <w:t xml:space="preserve">slamic banks in </w:t>
      </w:r>
      <w:r w:rsidR="009C0357" w:rsidRPr="00785F8C">
        <w:rPr>
          <w:rFonts w:ascii="Times New Roman" w:hAnsi="Times New Roman" w:cs="Times New Roman"/>
          <w:sz w:val="24"/>
          <w:szCs w:val="24"/>
        </w:rPr>
        <w:t>I</w:t>
      </w:r>
      <w:r w:rsidR="009D1A3E" w:rsidRPr="00785F8C">
        <w:rPr>
          <w:rFonts w:ascii="Times New Roman" w:hAnsi="Times New Roman" w:cs="Times New Roman"/>
          <w:sz w:val="24"/>
          <w:szCs w:val="24"/>
        </w:rPr>
        <w:t>ndonesia.</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Banks and Bank Systems</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15</w:t>
      </w:r>
      <w:r w:rsidRPr="00785F8C">
        <w:rPr>
          <w:rFonts w:ascii="Times New Roman" w:hAnsi="Times New Roman" w:cs="Times New Roman"/>
          <w:sz w:val="24"/>
          <w:szCs w:val="24"/>
        </w:rPr>
        <w:t>(1), 1–10. https://doi.org/10.21511/bbs.15(1).2020.01</w:t>
      </w:r>
    </w:p>
    <w:p w14:paraId="2D37B925" w14:textId="5873845D"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20" w:name="Nguyen"/>
      <w:r w:rsidRPr="00785F8C">
        <w:rPr>
          <w:rFonts w:ascii="Times New Roman" w:hAnsi="Times New Roman" w:cs="Times New Roman"/>
          <w:sz w:val="24"/>
          <w:szCs w:val="24"/>
        </w:rPr>
        <w:t>Nguyen</w:t>
      </w:r>
      <w:bookmarkEnd w:id="20"/>
      <w:r w:rsidRPr="00785F8C">
        <w:rPr>
          <w:rFonts w:ascii="Times New Roman" w:hAnsi="Times New Roman" w:cs="Times New Roman"/>
          <w:sz w:val="24"/>
          <w:szCs w:val="24"/>
        </w:rPr>
        <w:t xml:space="preserve">, L. A., &amp; Kend, M. (2021). The </w:t>
      </w:r>
      <w:r w:rsidR="009D1A3E" w:rsidRPr="00785F8C">
        <w:rPr>
          <w:rFonts w:ascii="Times New Roman" w:hAnsi="Times New Roman" w:cs="Times New Roman"/>
          <w:sz w:val="24"/>
          <w:szCs w:val="24"/>
        </w:rPr>
        <w:t xml:space="preserve">perceived impact of the </w:t>
      </w:r>
      <w:r w:rsidR="009C0357" w:rsidRPr="00785F8C">
        <w:rPr>
          <w:rFonts w:ascii="Times New Roman" w:hAnsi="Times New Roman" w:cs="Times New Roman"/>
          <w:sz w:val="24"/>
          <w:szCs w:val="24"/>
        </w:rPr>
        <w:t>K</w:t>
      </w:r>
      <w:r w:rsidR="009C0357" w:rsidRPr="00785F8C">
        <w:rPr>
          <w:rFonts w:ascii="Times New Roman" w:hAnsi="Times New Roman" w:cs="Times New Roman"/>
          <w:sz w:val="24"/>
          <w:szCs w:val="24"/>
          <w:lang w:val="id-ID"/>
        </w:rPr>
        <w:t xml:space="preserve">AM </w:t>
      </w:r>
      <w:r w:rsidR="009D1A3E" w:rsidRPr="00785F8C">
        <w:rPr>
          <w:rFonts w:ascii="Times New Roman" w:hAnsi="Times New Roman" w:cs="Times New Roman"/>
          <w:sz w:val="24"/>
          <w:szCs w:val="24"/>
        </w:rPr>
        <w:t>reforms on audit reports, audit quality</w:t>
      </w:r>
      <w:r w:rsidR="009C0357" w:rsidRPr="00785F8C">
        <w:rPr>
          <w:rFonts w:ascii="Times New Roman" w:hAnsi="Times New Roman" w:cs="Times New Roman"/>
          <w:sz w:val="24"/>
          <w:szCs w:val="24"/>
        </w:rPr>
        <w:t>,</w:t>
      </w:r>
      <w:r w:rsidR="009D1A3E" w:rsidRPr="00785F8C">
        <w:rPr>
          <w:rFonts w:ascii="Times New Roman" w:hAnsi="Times New Roman" w:cs="Times New Roman"/>
          <w:sz w:val="24"/>
          <w:szCs w:val="24"/>
        </w:rPr>
        <w:t xml:space="preserve"> and auditor work practices: stakeholders’ perspectives. </w:t>
      </w:r>
      <w:r w:rsidRPr="00785F8C">
        <w:rPr>
          <w:rFonts w:ascii="Times New Roman" w:hAnsi="Times New Roman" w:cs="Times New Roman"/>
          <w:i/>
          <w:iCs/>
          <w:sz w:val="24"/>
          <w:szCs w:val="24"/>
        </w:rPr>
        <w:t>Managerial Auditing Journal</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36</w:t>
      </w:r>
      <w:r w:rsidRPr="00785F8C">
        <w:rPr>
          <w:rFonts w:ascii="Times New Roman" w:hAnsi="Times New Roman" w:cs="Times New Roman"/>
          <w:sz w:val="24"/>
          <w:szCs w:val="24"/>
        </w:rPr>
        <w:t>(3), 437–462. https://doi.org/10.1108/maj-10-2019-2445</w:t>
      </w:r>
    </w:p>
    <w:p w14:paraId="4DC690D7" w14:textId="218E4F94"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21" w:name="Pfeiferov"/>
      <w:r w:rsidRPr="00785F8C">
        <w:rPr>
          <w:rFonts w:ascii="Times New Roman" w:hAnsi="Times New Roman" w:cs="Times New Roman"/>
          <w:sz w:val="24"/>
          <w:szCs w:val="24"/>
        </w:rPr>
        <w:t>Pfeiferov</w:t>
      </w:r>
      <w:bookmarkEnd w:id="21"/>
      <w:r w:rsidRPr="00785F8C">
        <w:rPr>
          <w:rFonts w:ascii="Times New Roman" w:hAnsi="Times New Roman" w:cs="Times New Roman"/>
          <w:sz w:val="24"/>
          <w:szCs w:val="24"/>
        </w:rPr>
        <w:t xml:space="preserve">á, D., &amp; Kuchařová, I. (2020). Risks </w:t>
      </w:r>
      <w:r w:rsidR="009D1A3E" w:rsidRPr="00785F8C">
        <w:rPr>
          <w:rFonts w:ascii="Times New Roman" w:hAnsi="Times New Roman" w:cs="Times New Roman"/>
          <w:sz w:val="24"/>
          <w:szCs w:val="24"/>
        </w:rPr>
        <w:t>of collective investment undertakings in the context of global capital markets</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SHS Web of Conferences</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74</w:t>
      </w:r>
      <w:r w:rsidRPr="00785F8C">
        <w:rPr>
          <w:rFonts w:ascii="Times New Roman" w:hAnsi="Times New Roman" w:cs="Times New Roman"/>
          <w:sz w:val="24"/>
          <w:szCs w:val="24"/>
        </w:rPr>
        <w:t>, 01025. https://doi.org/10.1051/shsconf/20207401025</w:t>
      </w:r>
    </w:p>
    <w:p w14:paraId="55AF5E1F" w14:textId="4F4DDB19"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22" w:name="Putri"/>
      <w:r w:rsidRPr="00785F8C">
        <w:rPr>
          <w:rFonts w:ascii="Times New Roman" w:hAnsi="Times New Roman" w:cs="Times New Roman"/>
          <w:sz w:val="24"/>
          <w:szCs w:val="24"/>
        </w:rPr>
        <w:t>Putri</w:t>
      </w:r>
      <w:bookmarkEnd w:id="22"/>
      <w:r w:rsidRPr="00785F8C">
        <w:rPr>
          <w:rFonts w:ascii="Times New Roman" w:hAnsi="Times New Roman" w:cs="Times New Roman"/>
          <w:sz w:val="24"/>
          <w:szCs w:val="24"/>
        </w:rPr>
        <w:t xml:space="preserve">, D. T., &amp; Nursiam, N. (2021). Ukuran </w:t>
      </w:r>
      <w:r w:rsidR="005A7A86" w:rsidRPr="00785F8C">
        <w:rPr>
          <w:rFonts w:ascii="Times New Roman" w:hAnsi="Times New Roman" w:cs="Times New Roman"/>
          <w:sz w:val="24"/>
          <w:szCs w:val="24"/>
        </w:rPr>
        <w:t>kantor akuntan publik (</w:t>
      </w:r>
      <w:r w:rsidR="005A7A86" w:rsidRPr="00785F8C">
        <w:rPr>
          <w:rFonts w:ascii="Times New Roman" w:hAnsi="Times New Roman" w:cs="Times New Roman"/>
          <w:sz w:val="24"/>
          <w:szCs w:val="24"/>
          <w:lang w:val="id-ID"/>
        </w:rPr>
        <w:t>KAP</w:t>
      </w:r>
      <w:r w:rsidR="009D1A3E" w:rsidRPr="00785F8C">
        <w:rPr>
          <w:rFonts w:ascii="Times New Roman" w:hAnsi="Times New Roman" w:cs="Times New Roman"/>
          <w:sz w:val="24"/>
          <w:szCs w:val="24"/>
        </w:rPr>
        <w:t>), opini auditor, financial distress, dan pergantian manajer pada auditor switching</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Perspektif Akuntansi</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4</w:t>
      </w:r>
      <w:r w:rsidRPr="00785F8C">
        <w:rPr>
          <w:rFonts w:ascii="Times New Roman" w:hAnsi="Times New Roman" w:cs="Times New Roman"/>
          <w:sz w:val="24"/>
          <w:szCs w:val="24"/>
        </w:rPr>
        <w:t>(3), 277–296. https://doi.org/10.24246/persi.v4i3.p277-296</w:t>
      </w:r>
    </w:p>
    <w:p w14:paraId="43BAB92E" w14:textId="7781A910"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23" w:name="Ren"/>
      <w:r w:rsidRPr="00785F8C">
        <w:rPr>
          <w:rFonts w:ascii="Times New Roman" w:hAnsi="Times New Roman" w:cs="Times New Roman"/>
          <w:sz w:val="24"/>
          <w:szCs w:val="24"/>
        </w:rPr>
        <w:t>Ren</w:t>
      </w:r>
      <w:bookmarkEnd w:id="23"/>
      <w:r w:rsidRPr="00785F8C">
        <w:rPr>
          <w:rFonts w:ascii="Times New Roman" w:hAnsi="Times New Roman" w:cs="Times New Roman"/>
          <w:sz w:val="24"/>
          <w:szCs w:val="24"/>
        </w:rPr>
        <w:t xml:space="preserve">, D., &amp; Du, J. (2020). </w:t>
      </w:r>
      <w:r w:rsidR="009D1A3E" w:rsidRPr="00785F8C">
        <w:rPr>
          <w:rFonts w:ascii="Times New Roman" w:hAnsi="Times New Roman" w:cs="Times New Roman"/>
          <w:sz w:val="24"/>
          <w:szCs w:val="24"/>
        </w:rPr>
        <w:t>Analysis on behavior characteristics of enterprise financing investment risk data</w:t>
      </w:r>
      <w:r w:rsidRPr="00785F8C">
        <w:rPr>
          <w:rFonts w:ascii="Times New Roman" w:hAnsi="Times New Roman" w:cs="Times New Roman"/>
          <w:sz w:val="24"/>
          <w:szCs w:val="24"/>
        </w:rPr>
        <w:t>. 315–325. https://doi.org/10.1007/978-3-030-51100-5_28</w:t>
      </w:r>
    </w:p>
    <w:p w14:paraId="6D5F0575" w14:textId="271B5AEF"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24" w:name="Sania"/>
      <w:r w:rsidRPr="00785F8C">
        <w:rPr>
          <w:rFonts w:ascii="Times New Roman" w:hAnsi="Times New Roman" w:cs="Times New Roman"/>
          <w:sz w:val="24"/>
          <w:szCs w:val="24"/>
        </w:rPr>
        <w:t>Sania</w:t>
      </w:r>
      <w:bookmarkEnd w:id="24"/>
      <w:r w:rsidRPr="00785F8C">
        <w:rPr>
          <w:rFonts w:ascii="Times New Roman" w:hAnsi="Times New Roman" w:cs="Times New Roman"/>
          <w:sz w:val="24"/>
          <w:szCs w:val="24"/>
        </w:rPr>
        <w:t xml:space="preserve">, W., &amp; Ali, S. (2024). The </w:t>
      </w:r>
      <w:r w:rsidR="009D1A3E" w:rsidRPr="00785F8C">
        <w:rPr>
          <w:rFonts w:ascii="Times New Roman" w:hAnsi="Times New Roman" w:cs="Times New Roman"/>
          <w:sz w:val="24"/>
          <w:szCs w:val="24"/>
        </w:rPr>
        <w:t xml:space="preserve">impact of audit fee, size of public accounting firm, company size, and leverage on the communication of key audit matters (implementation of the first year of </w:t>
      </w:r>
      <w:r w:rsidR="00BE4252" w:rsidRPr="00785F8C">
        <w:rPr>
          <w:rFonts w:ascii="Times New Roman" w:hAnsi="Times New Roman" w:cs="Times New Roman"/>
          <w:sz w:val="24"/>
          <w:szCs w:val="24"/>
        </w:rPr>
        <w:t>KAM</w:t>
      </w:r>
      <w:r w:rsidR="009D1A3E" w:rsidRPr="00785F8C">
        <w:rPr>
          <w:rFonts w:ascii="Times New Roman" w:hAnsi="Times New Roman" w:cs="Times New Roman"/>
          <w:sz w:val="24"/>
          <w:szCs w:val="24"/>
        </w:rPr>
        <w:t xml:space="preserve"> adoption in independent auditors’ reports in </w:t>
      </w:r>
      <w:r w:rsidR="009C0357" w:rsidRPr="00785F8C">
        <w:rPr>
          <w:rFonts w:ascii="Times New Roman" w:hAnsi="Times New Roman" w:cs="Times New Roman"/>
          <w:sz w:val="24"/>
          <w:szCs w:val="24"/>
        </w:rPr>
        <w:t>I</w:t>
      </w:r>
      <w:r w:rsidR="009D1A3E" w:rsidRPr="00785F8C">
        <w:rPr>
          <w:rFonts w:ascii="Times New Roman" w:hAnsi="Times New Roman" w:cs="Times New Roman"/>
          <w:sz w:val="24"/>
          <w:szCs w:val="24"/>
        </w:rPr>
        <w:t>ndonesia)</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Eduvest - Journal of Universal Studies</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4</w:t>
      </w:r>
      <w:r w:rsidRPr="00785F8C">
        <w:rPr>
          <w:rFonts w:ascii="Times New Roman" w:hAnsi="Times New Roman" w:cs="Times New Roman"/>
          <w:sz w:val="24"/>
          <w:szCs w:val="24"/>
        </w:rPr>
        <w:t>(10), 9547–9564. https://doi.org/10.59188/eduvest.v4i10.38822</w:t>
      </w:r>
    </w:p>
    <w:p w14:paraId="71613AFC" w14:textId="35E5B900"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25" w:name="Segal"/>
      <w:r w:rsidRPr="00785F8C">
        <w:rPr>
          <w:rFonts w:ascii="Times New Roman" w:hAnsi="Times New Roman" w:cs="Times New Roman"/>
          <w:sz w:val="24"/>
          <w:szCs w:val="24"/>
        </w:rPr>
        <w:t>Segal</w:t>
      </w:r>
      <w:bookmarkEnd w:id="25"/>
      <w:r w:rsidRPr="00785F8C">
        <w:rPr>
          <w:rFonts w:ascii="Times New Roman" w:hAnsi="Times New Roman" w:cs="Times New Roman"/>
          <w:sz w:val="24"/>
          <w:szCs w:val="24"/>
        </w:rPr>
        <w:t xml:space="preserve">, M. (2019). </w:t>
      </w:r>
      <w:r w:rsidR="009D1A3E" w:rsidRPr="00785F8C">
        <w:rPr>
          <w:rFonts w:ascii="Times New Roman" w:hAnsi="Times New Roman" w:cs="Times New Roman"/>
          <w:sz w:val="24"/>
          <w:szCs w:val="24"/>
        </w:rPr>
        <w:t>Key audit matters: insight from audit experts</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Meditari Accountancy Research</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27</w:t>
      </w:r>
      <w:r w:rsidRPr="00785F8C">
        <w:rPr>
          <w:rFonts w:ascii="Times New Roman" w:hAnsi="Times New Roman" w:cs="Times New Roman"/>
          <w:sz w:val="24"/>
          <w:szCs w:val="24"/>
        </w:rPr>
        <w:t>(3), 472–494. https://doi.org/10.1108/medar-06-2018-0355</w:t>
      </w:r>
    </w:p>
    <w:p w14:paraId="060CCB61" w14:textId="2CB8ADC6" w:rsidR="005B6025" w:rsidRPr="00785F8C" w:rsidRDefault="005B6025" w:rsidP="008D480F">
      <w:pPr>
        <w:pStyle w:val="Bibliography"/>
        <w:spacing w:after="160" w:line="240" w:lineRule="auto"/>
        <w:ind w:left="720" w:hanging="720"/>
        <w:jc w:val="both"/>
        <w:rPr>
          <w:rFonts w:ascii="Times New Roman" w:hAnsi="Times New Roman" w:cs="Times New Roman"/>
          <w:sz w:val="24"/>
          <w:szCs w:val="24"/>
          <w:lang w:val="id-ID"/>
        </w:rPr>
      </w:pPr>
      <w:bookmarkStart w:id="26" w:name="Sen"/>
      <w:bookmarkStart w:id="27" w:name="Septyadi"/>
      <w:r w:rsidRPr="00785F8C">
        <w:rPr>
          <w:rFonts w:ascii="Times New Roman" w:hAnsi="Times New Roman" w:cs="Times New Roman"/>
          <w:sz w:val="24"/>
          <w:szCs w:val="24"/>
          <w:lang w:val="id-ID"/>
        </w:rPr>
        <w:t>Sen</w:t>
      </w:r>
      <w:bookmarkEnd w:id="26"/>
      <w:r w:rsidRPr="00785F8C">
        <w:rPr>
          <w:rFonts w:ascii="Times New Roman" w:hAnsi="Times New Roman" w:cs="Times New Roman"/>
          <w:sz w:val="24"/>
          <w:szCs w:val="24"/>
          <w:lang w:val="id-ID"/>
        </w:rPr>
        <w:t xml:space="preserve">, P. K. (2020). Accuracy of disclosure environment and subsidies for foreign investments. </w:t>
      </w:r>
      <w:r w:rsidRPr="00785F8C">
        <w:rPr>
          <w:rFonts w:ascii="Times New Roman" w:hAnsi="Times New Roman" w:cs="Times New Roman"/>
          <w:i/>
          <w:iCs/>
          <w:sz w:val="24"/>
          <w:szCs w:val="24"/>
          <w:lang w:val="id-ID"/>
        </w:rPr>
        <w:t>Journal of Accounting Auditing &amp; Finance</w:t>
      </w:r>
      <w:r w:rsidRPr="00785F8C">
        <w:rPr>
          <w:rFonts w:ascii="Times New Roman" w:hAnsi="Times New Roman" w:cs="Times New Roman"/>
          <w:sz w:val="24"/>
          <w:szCs w:val="24"/>
          <w:lang w:val="id-ID"/>
        </w:rPr>
        <w:t xml:space="preserve">, </w:t>
      </w:r>
      <w:r w:rsidRPr="00785F8C">
        <w:rPr>
          <w:rFonts w:ascii="Times New Roman" w:hAnsi="Times New Roman" w:cs="Times New Roman"/>
          <w:i/>
          <w:iCs/>
          <w:sz w:val="24"/>
          <w:szCs w:val="24"/>
          <w:lang w:val="id-ID"/>
        </w:rPr>
        <w:t>38</w:t>
      </w:r>
      <w:r w:rsidRPr="00785F8C">
        <w:rPr>
          <w:rFonts w:ascii="Times New Roman" w:hAnsi="Times New Roman" w:cs="Times New Roman"/>
          <w:sz w:val="24"/>
          <w:szCs w:val="24"/>
          <w:lang w:val="id-ID"/>
        </w:rPr>
        <w:t xml:space="preserve">(1), 29–51. </w:t>
      </w:r>
      <w:hyperlink r:id="rId12" w:history="1">
        <w:r w:rsidRPr="00785F8C">
          <w:rPr>
            <w:rStyle w:val="Hyperlink"/>
            <w:rFonts w:ascii="Times New Roman" w:hAnsi="Times New Roman" w:cs="Times New Roman"/>
            <w:color w:val="000000" w:themeColor="text1"/>
            <w:sz w:val="24"/>
            <w:szCs w:val="24"/>
            <w:u w:val="none"/>
            <w:lang w:val="id-ID"/>
          </w:rPr>
          <w:t>https://doi.org/10.1177/0148558x20962900</w:t>
        </w:r>
      </w:hyperlink>
    </w:p>
    <w:p w14:paraId="3A20BB86" w14:textId="351BC978"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r w:rsidRPr="00785F8C">
        <w:rPr>
          <w:rFonts w:ascii="Times New Roman" w:hAnsi="Times New Roman" w:cs="Times New Roman"/>
          <w:sz w:val="24"/>
          <w:szCs w:val="24"/>
        </w:rPr>
        <w:lastRenderedPageBreak/>
        <w:t>Septyadi</w:t>
      </w:r>
      <w:bookmarkEnd w:id="27"/>
      <w:r w:rsidRPr="00785F8C">
        <w:rPr>
          <w:rFonts w:ascii="Times New Roman" w:hAnsi="Times New Roman" w:cs="Times New Roman"/>
          <w:sz w:val="24"/>
          <w:szCs w:val="24"/>
        </w:rPr>
        <w:t xml:space="preserve">, M. A., &amp; Bwarleling, T. H. (2020). Pengaruh </w:t>
      </w:r>
      <w:r w:rsidR="009D1A3E" w:rsidRPr="00785F8C">
        <w:rPr>
          <w:rFonts w:ascii="Times New Roman" w:hAnsi="Times New Roman" w:cs="Times New Roman"/>
          <w:sz w:val="24"/>
          <w:szCs w:val="24"/>
        </w:rPr>
        <w:t>volume perdagangan saham, leverage, dan kebijakan dividen terhadap volatilitas harga saham</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AKURASI: Jurnal Riset Akuntansi dan Keuangan</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2</w:t>
      </w:r>
      <w:r w:rsidRPr="00785F8C">
        <w:rPr>
          <w:rFonts w:ascii="Times New Roman" w:hAnsi="Times New Roman" w:cs="Times New Roman"/>
          <w:sz w:val="24"/>
          <w:szCs w:val="24"/>
        </w:rPr>
        <w:t>(3), 149–162. https://doi.org/10.36407/akurasi.v2i3.251</w:t>
      </w:r>
    </w:p>
    <w:p w14:paraId="14C6E5C4" w14:textId="09EAC9BD"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28" w:name="Setyawan"/>
      <w:r w:rsidRPr="00785F8C">
        <w:rPr>
          <w:rFonts w:ascii="Times New Roman" w:hAnsi="Times New Roman" w:cs="Times New Roman"/>
          <w:sz w:val="24"/>
          <w:szCs w:val="24"/>
        </w:rPr>
        <w:t>Setyawan</w:t>
      </w:r>
      <w:bookmarkEnd w:id="28"/>
      <w:r w:rsidRPr="00785F8C">
        <w:rPr>
          <w:rFonts w:ascii="Times New Roman" w:hAnsi="Times New Roman" w:cs="Times New Roman"/>
          <w:sz w:val="24"/>
          <w:szCs w:val="24"/>
        </w:rPr>
        <w:t xml:space="preserve">, I. R. (2010). </w:t>
      </w:r>
      <w:r w:rsidR="009D1A3E" w:rsidRPr="00785F8C">
        <w:rPr>
          <w:rFonts w:ascii="Times New Roman" w:hAnsi="Times New Roman" w:cs="Times New Roman"/>
          <w:sz w:val="24"/>
          <w:szCs w:val="24"/>
        </w:rPr>
        <w:t>Stock split dan likuiditas saham di bei: pengujian menggunakan hipotesis likuiditas</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Jurnal Akuntansi dan Keuangan Indonesia</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7</w:t>
      </w:r>
      <w:r w:rsidRPr="00785F8C">
        <w:rPr>
          <w:rFonts w:ascii="Times New Roman" w:hAnsi="Times New Roman" w:cs="Times New Roman"/>
          <w:sz w:val="24"/>
          <w:szCs w:val="24"/>
        </w:rPr>
        <w:t>(2), 124–138. https://doi.org/10.21002/jaki.2010.07</w:t>
      </w:r>
    </w:p>
    <w:p w14:paraId="2D693AC4" w14:textId="06291DAB"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29" w:name="Shao"/>
      <w:r w:rsidRPr="00785F8C">
        <w:rPr>
          <w:rFonts w:ascii="Times New Roman" w:hAnsi="Times New Roman" w:cs="Times New Roman"/>
          <w:sz w:val="24"/>
          <w:szCs w:val="24"/>
        </w:rPr>
        <w:t>Shao</w:t>
      </w:r>
      <w:bookmarkEnd w:id="29"/>
      <w:r w:rsidRPr="00785F8C">
        <w:rPr>
          <w:rFonts w:ascii="Times New Roman" w:hAnsi="Times New Roman" w:cs="Times New Roman"/>
          <w:sz w:val="24"/>
          <w:szCs w:val="24"/>
        </w:rPr>
        <w:t xml:space="preserve">, X. (2020). Research </w:t>
      </w:r>
      <w:r w:rsidR="009D1A3E" w:rsidRPr="00785F8C">
        <w:rPr>
          <w:rFonts w:ascii="Times New Roman" w:hAnsi="Times New Roman" w:cs="Times New Roman"/>
          <w:sz w:val="24"/>
          <w:szCs w:val="24"/>
        </w:rPr>
        <w:t>on disclosure status and influencing factors of key audit matters</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Modern Economy</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11</w:t>
      </w:r>
      <w:r w:rsidRPr="00785F8C">
        <w:rPr>
          <w:rFonts w:ascii="Times New Roman" w:hAnsi="Times New Roman" w:cs="Times New Roman"/>
          <w:sz w:val="24"/>
          <w:szCs w:val="24"/>
        </w:rPr>
        <w:t>(03), 701–725. https://doi.org/10.4236/me.2020.113052</w:t>
      </w:r>
    </w:p>
    <w:p w14:paraId="39002B46" w14:textId="182B87A6"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30" w:name="Siagian"/>
      <w:r w:rsidRPr="00785F8C">
        <w:rPr>
          <w:rFonts w:ascii="Times New Roman" w:hAnsi="Times New Roman" w:cs="Times New Roman"/>
          <w:sz w:val="24"/>
          <w:szCs w:val="24"/>
        </w:rPr>
        <w:t>Siagian</w:t>
      </w:r>
      <w:bookmarkEnd w:id="30"/>
      <w:r w:rsidRPr="00785F8C">
        <w:rPr>
          <w:rFonts w:ascii="Times New Roman" w:hAnsi="Times New Roman" w:cs="Times New Roman"/>
          <w:sz w:val="24"/>
          <w:szCs w:val="24"/>
        </w:rPr>
        <w:t xml:space="preserve">, V. (2023). Auditor’s </w:t>
      </w:r>
      <w:r w:rsidR="009D1A3E" w:rsidRPr="00785F8C">
        <w:rPr>
          <w:rFonts w:ascii="Times New Roman" w:hAnsi="Times New Roman" w:cs="Times New Roman"/>
          <w:sz w:val="24"/>
          <w:szCs w:val="24"/>
        </w:rPr>
        <w:t>reputation and audi</w:t>
      </w:r>
      <w:r w:rsidR="005A7A86" w:rsidRPr="00785F8C">
        <w:rPr>
          <w:rFonts w:ascii="Times New Roman" w:hAnsi="Times New Roman" w:cs="Times New Roman"/>
          <w:sz w:val="24"/>
          <w:szCs w:val="24"/>
        </w:rPr>
        <w:t xml:space="preserve">tor’s opinion on stock prices: </w:t>
      </w:r>
      <w:r w:rsidR="005A7A86" w:rsidRPr="00785F8C">
        <w:rPr>
          <w:rFonts w:ascii="Times New Roman" w:hAnsi="Times New Roman" w:cs="Times New Roman"/>
          <w:sz w:val="24"/>
          <w:szCs w:val="24"/>
          <w:lang w:val="id-ID"/>
        </w:rPr>
        <w:t>E</w:t>
      </w:r>
      <w:r w:rsidR="009D1A3E" w:rsidRPr="00785F8C">
        <w:rPr>
          <w:rFonts w:ascii="Times New Roman" w:hAnsi="Times New Roman" w:cs="Times New Roman"/>
          <w:sz w:val="24"/>
          <w:szCs w:val="24"/>
        </w:rPr>
        <w:t xml:space="preserve">vidence from </w:t>
      </w:r>
      <w:r w:rsidR="00884CB8" w:rsidRPr="00785F8C">
        <w:rPr>
          <w:rFonts w:ascii="Times New Roman" w:hAnsi="Times New Roman" w:cs="Times New Roman"/>
          <w:sz w:val="24"/>
          <w:szCs w:val="24"/>
        </w:rPr>
        <w:t>I</w:t>
      </w:r>
      <w:r w:rsidR="009D1A3E" w:rsidRPr="00785F8C">
        <w:rPr>
          <w:rFonts w:ascii="Times New Roman" w:hAnsi="Times New Roman" w:cs="Times New Roman"/>
          <w:sz w:val="24"/>
          <w:szCs w:val="24"/>
        </w:rPr>
        <w:t>ndonesia’s main board index</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The Indonesian Accounting Review</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13</w:t>
      </w:r>
      <w:r w:rsidRPr="00785F8C">
        <w:rPr>
          <w:rFonts w:ascii="Times New Roman" w:hAnsi="Times New Roman" w:cs="Times New Roman"/>
          <w:sz w:val="24"/>
          <w:szCs w:val="24"/>
        </w:rPr>
        <w:t>(2), 221–232. https://doi.org/10.14414/tiar.v13i2.3345</w:t>
      </w:r>
    </w:p>
    <w:p w14:paraId="5688ED80" w14:textId="2BFAC916"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31" w:name="Sirois"/>
      <w:r w:rsidRPr="00785F8C">
        <w:rPr>
          <w:rFonts w:ascii="Times New Roman" w:hAnsi="Times New Roman" w:cs="Times New Roman"/>
          <w:sz w:val="24"/>
          <w:szCs w:val="24"/>
        </w:rPr>
        <w:t>Sirois</w:t>
      </w:r>
      <w:bookmarkEnd w:id="31"/>
      <w:r w:rsidRPr="00785F8C">
        <w:rPr>
          <w:rFonts w:ascii="Times New Roman" w:hAnsi="Times New Roman" w:cs="Times New Roman"/>
          <w:sz w:val="24"/>
          <w:szCs w:val="24"/>
        </w:rPr>
        <w:t xml:space="preserve">, L.-P., Bédard, J., &amp; Bera, P. (2018). The </w:t>
      </w:r>
      <w:r w:rsidR="009D1A3E" w:rsidRPr="00785F8C">
        <w:rPr>
          <w:rFonts w:ascii="Times New Roman" w:hAnsi="Times New Roman" w:cs="Times New Roman"/>
          <w:sz w:val="24"/>
          <w:szCs w:val="24"/>
        </w:rPr>
        <w:t>informational value of key audit matters in the auditor’s report: evidence from an eye-tracking study</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Accounting Horizons</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32</w:t>
      </w:r>
      <w:r w:rsidRPr="00785F8C">
        <w:rPr>
          <w:rFonts w:ascii="Times New Roman" w:hAnsi="Times New Roman" w:cs="Times New Roman"/>
          <w:sz w:val="24"/>
          <w:szCs w:val="24"/>
        </w:rPr>
        <w:t>(2), 141–162. https://doi.org/10.2308/acch-52047</w:t>
      </w:r>
    </w:p>
    <w:p w14:paraId="5E0C35DE" w14:textId="1B9C8ABD"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32" w:name="Spence"/>
      <w:r w:rsidRPr="00785F8C">
        <w:rPr>
          <w:rFonts w:ascii="Times New Roman" w:hAnsi="Times New Roman" w:cs="Times New Roman"/>
          <w:sz w:val="24"/>
          <w:szCs w:val="24"/>
        </w:rPr>
        <w:t>Spence</w:t>
      </w:r>
      <w:bookmarkEnd w:id="32"/>
      <w:r w:rsidRPr="00785F8C">
        <w:rPr>
          <w:rFonts w:ascii="Times New Roman" w:hAnsi="Times New Roman" w:cs="Times New Roman"/>
          <w:sz w:val="24"/>
          <w:szCs w:val="24"/>
        </w:rPr>
        <w:t xml:space="preserve">, M. (1973). Job </w:t>
      </w:r>
      <w:r w:rsidR="009D1A3E" w:rsidRPr="00785F8C">
        <w:rPr>
          <w:rFonts w:ascii="Times New Roman" w:hAnsi="Times New Roman" w:cs="Times New Roman"/>
          <w:sz w:val="24"/>
          <w:szCs w:val="24"/>
        </w:rPr>
        <w:t>m</w:t>
      </w:r>
      <w:r w:rsidRPr="00785F8C">
        <w:rPr>
          <w:rFonts w:ascii="Times New Roman" w:hAnsi="Times New Roman" w:cs="Times New Roman"/>
          <w:sz w:val="24"/>
          <w:szCs w:val="24"/>
        </w:rPr>
        <w:t xml:space="preserve">arket </w:t>
      </w:r>
      <w:r w:rsidR="009D1A3E" w:rsidRPr="00785F8C">
        <w:rPr>
          <w:rFonts w:ascii="Times New Roman" w:hAnsi="Times New Roman" w:cs="Times New Roman"/>
          <w:sz w:val="24"/>
          <w:szCs w:val="24"/>
        </w:rPr>
        <w:t>s</w:t>
      </w:r>
      <w:r w:rsidRPr="00785F8C">
        <w:rPr>
          <w:rFonts w:ascii="Times New Roman" w:hAnsi="Times New Roman" w:cs="Times New Roman"/>
          <w:sz w:val="24"/>
          <w:szCs w:val="24"/>
        </w:rPr>
        <w:t xml:space="preserve">ignaling. </w:t>
      </w:r>
      <w:r w:rsidRPr="00785F8C">
        <w:rPr>
          <w:rFonts w:ascii="Times New Roman" w:hAnsi="Times New Roman" w:cs="Times New Roman"/>
          <w:i/>
          <w:iCs/>
          <w:sz w:val="24"/>
          <w:szCs w:val="24"/>
        </w:rPr>
        <w:t>The Quarterly Journal of Economics</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87</w:t>
      </w:r>
      <w:r w:rsidRPr="00785F8C">
        <w:rPr>
          <w:rFonts w:ascii="Times New Roman" w:hAnsi="Times New Roman" w:cs="Times New Roman"/>
          <w:sz w:val="24"/>
          <w:szCs w:val="24"/>
        </w:rPr>
        <w:t>(3), 355–374. JSTOR. https://doi.org/10.2307/1882010</w:t>
      </w:r>
    </w:p>
    <w:p w14:paraId="157B74D8" w14:textId="310EC4D9"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33" w:name="Syahyono"/>
      <w:r w:rsidRPr="00785F8C">
        <w:rPr>
          <w:rFonts w:ascii="Times New Roman" w:hAnsi="Times New Roman" w:cs="Times New Roman"/>
          <w:sz w:val="24"/>
          <w:szCs w:val="24"/>
        </w:rPr>
        <w:t>Syahyono</w:t>
      </w:r>
      <w:bookmarkEnd w:id="33"/>
      <w:r w:rsidRPr="00785F8C">
        <w:rPr>
          <w:rFonts w:ascii="Times New Roman" w:hAnsi="Times New Roman" w:cs="Times New Roman"/>
          <w:sz w:val="24"/>
          <w:szCs w:val="24"/>
        </w:rPr>
        <w:t xml:space="preserve">, S. (2018). Effect </w:t>
      </w:r>
      <w:r w:rsidR="009D1A3E" w:rsidRPr="00785F8C">
        <w:rPr>
          <w:rFonts w:ascii="Times New Roman" w:hAnsi="Times New Roman" w:cs="Times New Roman"/>
          <w:sz w:val="24"/>
          <w:szCs w:val="24"/>
        </w:rPr>
        <w:t>of portfolio investment optimization risk-based and efficiency investment on investment decision</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Fair Value Jurnal Ilmiah Akuntansi Dan Keuangan</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1</w:t>
      </w:r>
      <w:r w:rsidRPr="00785F8C">
        <w:rPr>
          <w:rFonts w:ascii="Times New Roman" w:hAnsi="Times New Roman" w:cs="Times New Roman"/>
          <w:sz w:val="24"/>
          <w:szCs w:val="24"/>
        </w:rPr>
        <w:t>(1), 124–131. https://doi.org/10.32670/fairvalue.v1i1.1193</w:t>
      </w:r>
    </w:p>
    <w:p w14:paraId="3C3E4B3A" w14:textId="09F082A6"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34" w:name="Wooldridge"/>
      <w:r w:rsidRPr="00785F8C">
        <w:rPr>
          <w:rFonts w:ascii="Times New Roman" w:hAnsi="Times New Roman" w:cs="Times New Roman"/>
          <w:sz w:val="24"/>
          <w:szCs w:val="24"/>
        </w:rPr>
        <w:t>Wooldridge</w:t>
      </w:r>
      <w:bookmarkEnd w:id="34"/>
      <w:r w:rsidRPr="00785F8C">
        <w:rPr>
          <w:rFonts w:ascii="Times New Roman" w:hAnsi="Times New Roman" w:cs="Times New Roman"/>
          <w:sz w:val="24"/>
          <w:szCs w:val="24"/>
        </w:rPr>
        <w:t xml:space="preserve">, J. (2013). </w:t>
      </w:r>
      <w:r w:rsidRPr="00785F8C">
        <w:rPr>
          <w:rFonts w:ascii="Times New Roman" w:hAnsi="Times New Roman" w:cs="Times New Roman"/>
          <w:i/>
          <w:iCs/>
          <w:sz w:val="24"/>
          <w:szCs w:val="24"/>
        </w:rPr>
        <w:t>Introductory Econometrics: A Modern Approach</w:t>
      </w:r>
      <w:r w:rsidRPr="00785F8C">
        <w:rPr>
          <w:rFonts w:ascii="Times New Roman" w:hAnsi="Times New Roman" w:cs="Times New Roman"/>
          <w:sz w:val="24"/>
          <w:szCs w:val="24"/>
        </w:rPr>
        <w:t xml:space="preserve">. </w:t>
      </w:r>
      <w:r w:rsidR="00346A8C" w:rsidRPr="00785F8C">
        <w:rPr>
          <w:rFonts w:ascii="Times New Roman" w:hAnsi="Times New Roman" w:cs="Times New Roman"/>
          <w:sz w:val="24"/>
          <w:szCs w:val="24"/>
        </w:rPr>
        <w:t>Cengage Learning</w:t>
      </w:r>
      <w:r w:rsidRPr="00785F8C">
        <w:rPr>
          <w:rFonts w:ascii="Times New Roman" w:hAnsi="Times New Roman" w:cs="Times New Roman"/>
          <w:sz w:val="24"/>
          <w:szCs w:val="24"/>
        </w:rPr>
        <w:t>.</w:t>
      </w:r>
    </w:p>
    <w:p w14:paraId="3CD8B1DC" w14:textId="28BC3DBC"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35" w:name="Wulandari"/>
      <w:r w:rsidRPr="00785F8C">
        <w:rPr>
          <w:rFonts w:ascii="Times New Roman" w:hAnsi="Times New Roman" w:cs="Times New Roman"/>
          <w:sz w:val="24"/>
          <w:szCs w:val="24"/>
        </w:rPr>
        <w:t>Wulandari</w:t>
      </w:r>
      <w:bookmarkEnd w:id="35"/>
      <w:r w:rsidRPr="00785F8C">
        <w:rPr>
          <w:rFonts w:ascii="Times New Roman" w:hAnsi="Times New Roman" w:cs="Times New Roman"/>
          <w:sz w:val="24"/>
          <w:szCs w:val="24"/>
        </w:rPr>
        <w:t xml:space="preserve">, S. (2021). Investment </w:t>
      </w:r>
      <w:r w:rsidR="009D1A3E" w:rsidRPr="00785F8C">
        <w:rPr>
          <w:rFonts w:ascii="Times New Roman" w:hAnsi="Times New Roman" w:cs="Times New Roman"/>
          <w:sz w:val="24"/>
          <w:szCs w:val="24"/>
        </w:rPr>
        <w:t xml:space="preserve">risk management for vanilla agribusiness development in </w:t>
      </w:r>
      <w:r w:rsidR="00884CB8" w:rsidRPr="00785F8C">
        <w:rPr>
          <w:rFonts w:ascii="Times New Roman" w:hAnsi="Times New Roman" w:cs="Times New Roman"/>
          <w:sz w:val="24"/>
          <w:szCs w:val="24"/>
        </w:rPr>
        <w:t>I</w:t>
      </w:r>
      <w:r w:rsidR="009D1A3E" w:rsidRPr="00785F8C">
        <w:rPr>
          <w:rFonts w:ascii="Times New Roman" w:hAnsi="Times New Roman" w:cs="Times New Roman"/>
          <w:sz w:val="24"/>
          <w:szCs w:val="24"/>
        </w:rPr>
        <w:t>ndonesia</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E3s Web of Conferences</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232</w:t>
      </w:r>
      <w:r w:rsidRPr="00785F8C">
        <w:rPr>
          <w:rFonts w:ascii="Times New Roman" w:hAnsi="Times New Roman" w:cs="Times New Roman"/>
          <w:sz w:val="24"/>
          <w:szCs w:val="24"/>
        </w:rPr>
        <w:t>, 02022. https://doi.org/10.1051/e3sconf/202123202022</w:t>
      </w:r>
    </w:p>
    <w:p w14:paraId="602C0AD4" w14:textId="77CC764C" w:rsidR="00333370" w:rsidRPr="00785F8C" w:rsidRDefault="00333370" w:rsidP="008D480F">
      <w:pPr>
        <w:pStyle w:val="Bibliography"/>
        <w:spacing w:after="160" w:line="240" w:lineRule="auto"/>
        <w:ind w:left="720" w:hanging="720"/>
        <w:jc w:val="both"/>
        <w:rPr>
          <w:rFonts w:ascii="Times New Roman" w:hAnsi="Times New Roman" w:cs="Times New Roman"/>
          <w:sz w:val="24"/>
          <w:szCs w:val="24"/>
        </w:rPr>
      </w:pPr>
      <w:bookmarkStart w:id="36" w:name="Yue"/>
      <w:r w:rsidRPr="00785F8C">
        <w:rPr>
          <w:rFonts w:ascii="Times New Roman" w:hAnsi="Times New Roman" w:cs="Times New Roman"/>
          <w:sz w:val="24"/>
          <w:szCs w:val="24"/>
        </w:rPr>
        <w:t>Yue</w:t>
      </w:r>
      <w:bookmarkEnd w:id="36"/>
      <w:r w:rsidRPr="00785F8C">
        <w:rPr>
          <w:rFonts w:ascii="Times New Roman" w:hAnsi="Times New Roman" w:cs="Times New Roman"/>
          <w:sz w:val="24"/>
          <w:szCs w:val="24"/>
        </w:rPr>
        <w:t xml:space="preserve">, Y. (2022). Empirical </w:t>
      </w:r>
      <w:r w:rsidR="00EF6A28" w:rsidRPr="00785F8C">
        <w:rPr>
          <w:rFonts w:ascii="Times New Roman" w:hAnsi="Times New Roman" w:cs="Times New Roman"/>
          <w:sz w:val="24"/>
          <w:szCs w:val="24"/>
        </w:rPr>
        <w:t>study on the impact of key audit disclosure on stock price in audit reports</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BCP Business &amp; Management</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20</w:t>
      </w:r>
      <w:r w:rsidRPr="00785F8C">
        <w:rPr>
          <w:rFonts w:ascii="Times New Roman" w:hAnsi="Times New Roman" w:cs="Times New Roman"/>
          <w:sz w:val="24"/>
          <w:szCs w:val="24"/>
        </w:rPr>
        <w:t>, 519–524. https://doi.org/10.54691/bcpbm.v20i.1026</w:t>
      </w:r>
    </w:p>
    <w:p w14:paraId="17E35787" w14:textId="77777777" w:rsidR="008A790B" w:rsidRDefault="00333370" w:rsidP="008A790B">
      <w:pPr>
        <w:pStyle w:val="Bibliography"/>
        <w:spacing w:after="160" w:line="240" w:lineRule="auto"/>
        <w:ind w:left="720" w:hanging="720"/>
        <w:jc w:val="both"/>
        <w:rPr>
          <w:rFonts w:ascii="Times New Roman" w:hAnsi="Times New Roman" w:cs="Times New Roman"/>
          <w:sz w:val="24"/>
          <w:szCs w:val="24"/>
          <w:lang w:val="id-ID"/>
        </w:rPr>
      </w:pPr>
      <w:bookmarkStart w:id="37" w:name="Yulianto"/>
      <w:r w:rsidRPr="00785F8C">
        <w:rPr>
          <w:rFonts w:ascii="Times New Roman" w:hAnsi="Times New Roman" w:cs="Times New Roman"/>
          <w:sz w:val="24"/>
          <w:szCs w:val="24"/>
        </w:rPr>
        <w:t>Yulianto</w:t>
      </w:r>
      <w:bookmarkEnd w:id="37"/>
      <w:r w:rsidRPr="00785F8C">
        <w:rPr>
          <w:rFonts w:ascii="Times New Roman" w:hAnsi="Times New Roman" w:cs="Times New Roman"/>
          <w:sz w:val="24"/>
          <w:szCs w:val="24"/>
        </w:rPr>
        <w:t xml:space="preserve">, A. R. (2025). Key </w:t>
      </w:r>
      <w:r w:rsidR="00EF6A28" w:rsidRPr="00785F8C">
        <w:rPr>
          <w:rFonts w:ascii="Times New Roman" w:hAnsi="Times New Roman" w:cs="Times New Roman"/>
          <w:sz w:val="24"/>
          <w:szCs w:val="24"/>
        </w:rPr>
        <w:t>audi</w:t>
      </w:r>
      <w:r w:rsidR="005A7A86" w:rsidRPr="00785F8C">
        <w:rPr>
          <w:rFonts w:ascii="Times New Roman" w:hAnsi="Times New Roman" w:cs="Times New Roman"/>
          <w:sz w:val="24"/>
          <w:szCs w:val="24"/>
        </w:rPr>
        <w:t xml:space="preserve">t matter and audit report lag: </w:t>
      </w:r>
      <w:r w:rsidR="005A7A86" w:rsidRPr="00785F8C">
        <w:rPr>
          <w:rFonts w:ascii="Times New Roman" w:hAnsi="Times New Roman" w:cs="Times New Roman"/>
          <w:sz w:val="24"/>
          <w:szCs w:val="24"/>
          <w:lang w:val="id-ID"/>
        </w:rPr>
        <w:t>A</w:t>
      </w:r>
      <w:r w:rsidR="00EF6A28" w:rsidRPr="00785F8C">
        <w:rPr>
          <w:rFonts w:ascii="Times New Roman" w:hAnsi="Times New Roman" w:cs="Times New Roman"/>
          <w:sz w:val="24"/>
          <w:szCs w:val="24"/>
        </w:rPr>
        <w:t xml:space="preserve"> preliminary evidence from </w:t>
      </w:r>
      <w:r w:rsidR="007E2745" w:rsidRPr="00785F8C">
        <w:rPr>
          <w:rFonts w:ascii="Times New Roman" w:hAnsi="Times New Roman" w:cs="Times New Roman"/>
          <w:sz w:val="24"/>
          <w:szCs w:val="24"/>
        </w:rPr>
        <w:t>I</w:t>
      </w:r>
      <w:r w:rsidR="00EF6A28" w:rsidRPr="00785F8C">
        <w:rPr>
          <w:rFonts w:ascii="Times New Roman" w:hAnsi="Times New Roman" w:cs="Times New Roman"/>
          <w:sz w:val="24"/>
          <w:szCs w:val="24"/>
        </w:rPr>
        <w:t>ndonesia</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Journal of Emerging Economies and Islamic Research</w:t>
      </w:r>
      <w:r w:rsidRPr="00785F8C">
        <w:rPr>
          <w:rFonts w:ascii="Times New Roman" w:hAnsi="Times New Roman" w:cs="Times New Roman"/>
          <w:sz w:val="24"/>
          <w:szCs w:val="24"/>
        </w:rPr>
        <w:t>. https://doi.org/10.24191/jeeir.v13i1.4432</w:t>
      </w:r>
      <w:bookmarkStart w:id="38" w:name="Zhang"/>
    </w:p>
    <w:p w14:paraId="1881A411" w14:textId="07A199EF" w:rsidR="00333370" w:rsidRPr="00785F8C" w:rsidRDefault="00333370" w:rsidP="008A790B">
      <w:pPr>
        <w:pStyle w:val="Bibliography"/>
        <w:spacing w:after="160" w:line="240" w:lineRule="auto"/>
        <w:ind w:left="720" w:hanging="720"/>
        <w:jc w:val="both"/>
        <w:rPr>
          <w:rFonts w:ascii="Times New Roman" w:hAnsi="Times New Roman" w:cs="Times New Roman"/>
          <w:sz w:val="24"/>
          <w:szCs w:val="24"/>
        </w:rPr>
      </w:pPr>
      <w:r w:rsidRPr="00785F8C">
        <w:rPr>
          <w:rFonts w:ascii="Times New Roman" w:hAnsi="Times New Roman" w:cs="Times New Roman"/>
          <w:sz w:val="24"/>
          <w:szCs w:val="24"/>
        </w:rPr>
        <w:t>Zhang</w:t>
      </w:r>
      <w:bookmarkEnd w:id="38"/>
      <w:r w:rsidRPr="00785F8C">
        <w:rPr>
          <w:rFonts w:ascii="Times New Roman" w:hAnsi="Times New Roman" w:cs="Times New Roman"/>
          <w:sz w:val="24"/>
          <w:szCs w:val="24"/>
        </w:rPr>
        <w:t xml:space="preserve">, L. (2020). A </w:t>
      </w:r>
      <w:r w:rsidR="00EF6A28" w:rsidRPr="00785F8C">
        <w:rPr>
          <w:rFonts w:ascii="Times New Roman" w:hAnsi="Times New Roman" w:cs="Times New Roman"/>
          <w:sz w:val="24"/>
          <w:szCs w:val="24"/>
        </w:rPr>
        <w:t>study of the impact of information disclosure quality on the efficiency of corporate investment—based on civil engineering listed companies</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E3s Web of Conferences</w:t>
      </w:r>
      <w:r w:rsidRPr="00785F8C">
        <w:rPr>
          <w:rFonts w:ascii="Times New Roman" w:hAnsi="Times New Roman" w:cs="Times New Roman"/>
          <w:sz w:val="24"/>
          <w:szCs w:val="24"/>
        </w:rPr>
        <w:t xml:space="preserve">, </w:t>
      </w:r>
      <w:r w:rsidRPr="00785F8C">
        <w:rPr>
          <w:rFonts w:ascii="Times New Roman" w:hAnsi="Times New Roman" w:cs="Times New Roman"/>
          <w:i/>
          <w:iCs/>
          <w:sz w:val="24"/>
          <w:szCs w:val="24"/>
        </w:rPr>
        <w:t>198</w:t>
      </w:r>
      <w:r w:rsidRPr="00785F8C">
        <w:rPr>
          <w:rFonts w:ascii="Times New Roman" w:hAnsi="Times New Roman" w:cs="Times New Roman"/>
          <w:sz w:val="24"/>
          <w:szCs w:val="24"/>
        </w:rPr>
        <w:t>, 03032. https://doi.org/10.1051/e3sconf/202019803032</w:t>
      </w:r>
    </w:p>
    <w:p w14:paraId="30471AEA" w14:textId="7E141E6A" w:rsidR="00FE0406" w:rsidRPr="00785F8C" w:rsidRDefault="00333370" w:rsidP="00785F8C">
      <w:pPr>
        <w:spacing w:after="0"/>
        <w:ind w:left="720" w:hanging="720"/>
        <w:jc w:val="both"/>
        <w:rPr>
          <w:rFonts w:ascii="Times New Roman" w:hAnsi="Times New Roman" w:cs="Times New Roman"/>
          <w:b/>
          <w:sz w:val="24"/>
          <w:szCs w:val="24"/>
        </w:rPr>
      </w:pPr>
      <w:r w:rsidRPr="00785F8C">
        <w:rPr>
          <w:rFonts w:ascii="Times New Roman" w:hAnsi="Times New Roman" w:cs="Times New Roman"/>
          <w:b/>
          <w:sz w:val="24"/>
          <w:szCs w:val="24"/>
        </w:rPr>
        <w:fldChar w:fldCharType="end"/>
      </w:r>
    </w:p>
    <w:sectPr w:rsidR="00FE0406" w:rsidRPr="00785F8C" w:rsidSect="00B61E96">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701" w:header="737" w:footer="567" w:gutter="0"/>
      <w:pgNumType w:start="15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01C89" w14:textId="77777777" w:rsidR="00E5707E" w:rsidRDefault="00E5707E">
      <w:pPr>
        <w:spacing w:after="0" w:line="240" w:lineRule="auto"/>
      </w:pPr>
      <w:r>
        <w:separator/>
      </w:r>
    </w:p>
  </w:endnote>
  <w:endnote w:type="continuationSeparator" w:id="0">
    <w:p w14:paraId="2E686735" w14:textId="77777777" w:rsidR="00E5707E" w:rsidRDefault="00E57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notTrueType/>
    <w:pitch w:val="variable"/>
    <w:sig w:usb0="E00002AF" w:usb1="5000E07B" w:usb2="00000000" w:usb3="00000000" w:csb0="0000019F" w:csb1="00000000"/>
  </w:font>
  <w:font w:name="Lucida Grande">
    <w:panose1 w:val="020B0600040502020204"/>
    <w:charset w:val="00"/>
    <w:family w:val="swiss"/>
    <w:notTrueType/>
    <w:pitch w:val="variable"/>
    <w:sig w:usb0="E1000AEF" w:usb1="5000A1FF" w:usb2="00000000" w:usb3="00000000" w:csb0="000001BF" w:csb1="00000000"/>
  </w:font>
  <w:font w:name="Palatino">
    <w:panose1 w:val="00000000000000000000"/>
    <w:charset w:val="00"/>
    <w:family w:val="auto"/>
    <w:pitch w:val="variable"/>
    <w:sig w:usb0="A00002FF" w:usb1="7800205A" w:usb2="14600000" w:usb3="00000000" w:csb0="00000193" w:csb1="00000000"/>
  </w:font>
  <w:font w:name="Batang">
    <w:altName w:val="바탕"/>
    <w:panose1 w:val="02030600000101010101"/>
    <w:charset w:val="81"/>
    <w:family w:val="roman"/>
    <w:notTrueType/>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7" w:type="dxa"/>
      <w:tblBorders>
        <w:top w:val="single" w:sz="4" w:space="0" w:color="B2A1C7" w:themeColor="accent4"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8050"/>
    </w:tblGrid>
    <w:tr w:rsidR="00B61E96" w:rsidRPr="004837BB" w14:paraId="6E28F411" w14:textId="77777777" w:rsidTr="00C50CFE">
      <w:trPr>
        <w:trHeight w:val="567"/>
      </w:trPr>
      <w:tc>
        <w:tcPr>
          <w:tcW w:w="737" w:type="dxa"/>
          <w:shd w:val="clear" w:color="auto" w:fill="E5DFEC" w:themeFill="accent4" w:themeFillTint="33"/>
          <w:vAlign w:val="center"/>
        </w:tcPr>
        <w:p w14:paraId="08728491" w14:textId="77777777" w:rsidR="00B61E96" w:rsidRPr="004837BB" w:rsidRDefault="00B61E96" w:rsidP="00B61E96">
          <w:pPr>
            <w:tabs>
              <w:tab w:val="center" w:pos="4513"/>
              <w:tab w:val="right" w:pos="9026"/>
            </w:tabs>
            <w:jc w:val="center"/>
            <w:rPr>
              <w:color w:val="000000"/>
              <w:sz w:val="16"/>
              <w:szCs w:val="16"/>
            </w:rPr>
          </w:pPr>
          <w:r w:rsidRPr="004837BB">
            <w:rPr>
              <w:color w:val="000000"/>
            </w:rPr>
            <w:fldChar w:fldCharType="begin"/>
          </w:r>
          <w:r w:rsidRPr="004837BB">
            <w:rPr>
              <w:color w:val="000000"/>
            </w:rPr>
            <w:instrText xml:space="preserve"> PAGE   \* MERGEFORMAT </w:instrText>
          </w:r>
          <w:r w:rsidRPr="004837BB">
            <w:rPr>
              <w:color w:val="000000"/>
            </w:rPr>
            <w:fldChar w:fldCharType="separate"/>
          </w:r>
          <w:r>
            <w:rPr>
              <w:color w:val="000000"/>
            </w:rPr>
            <w:t>128</w:t>
          </w:r>
          <w:r w:rsidRPr="004837BB">
            <w:rPr>
              <w:noProof/>
              <w:color w:val="000000"/>
            </w:rPr>
            <w:fldChar w:fldCharType="end"/>
          </w:r>
        </w:p>
      </w:tc>
      <w:tc>
        <w:tcPr>
          <w:tcW w:w="8050" w:type="dxa"/>
          <w:vAlign w:val="center"/>
        </w:tcPr>
        <w:p w14:paraId="2C5475A2" w14:textId="77777777" w:rsidR="00B61E96" w:rsidRPr="004837BB" w:rsidRDefault="00B61E96" w:rsidP="00B61E96">
          <w:pPr>
            <w:tabs>
              <w:tab w:val="left" w:pos="4706"/>
              <w:tab w:val="right" w:pos="9026"/>
            </w:tabs>
            <w:rPr>
              <w:color w:val="000000"/>
              <w:sz w:val="26"/>
              <w:szCs w:val="26"/>
            </w:rPr>
          </w:pPr>
          <w:hyperlink r:id="rId1" w:tgtFrame="_blank" w:tooltip="p-issn" w:history="1">
            <w:r w:rsidRPr="004837BB">
              <w:rPr>
                <w:rStyle w:val="Hyperlink"/>
                <w:b/>
                <w:bCs/>
                <w:color w:val="101E5A"/>
                <w:sz w:val="24"/>
                <w:szCs w:val="24"/>
              </w:rPr>
              <w:t>2720-9067</w:t>
            </w:r>
          </w:hyperlink>
          <w:r w:rsidRPr="004837BB">
            <w:rPr>
              <w:sz w:val="24"/>
              <w:szCs w:val="24"/>
            </w:rPr>
            <w:t> (</w:t>
          </w:r>
          <w:r w:rsidRPr="004837BB">
            <w:rPr>
              <w:sz w:val="24"/>
              <w:szCs w:val="24"/>
              <w:lang w:val="en-US"/>
            </w:rPr>
            <w:t>ISSN</w:t>
          </w:r>
          <w:r w:rsidRPr="004837BB">
            <w:rPr>
              <w:sz w:val="24"/>
              <w:szCs w:val="24"/>
            </w:rPr>
            <w:t>), </w:t>
          </w:r>
          <w:hyperlink r:id="rId2" w:tgtFrame="_blank" w:tooltip="issn" w:history="1">
            <w:r w:rsidRPr="004837BB">
              <w:rPr>
                <w:rStyle w:val="Hyperlink"/>
                <w:b/>
                <w:bCs/>
                <w:color w:val="101E5A"/>
                <w:sz w:val="24"/>
                <w:szCs w:val="24"/>
              </w:rPr>
              <w:t>2685-1059</w:t>
            </w:r>
          </w:hyperlink>
          <w:r w:rsidRPr="004837BB">
            <w:rPr>
              <w:sz w:val="24"/>
              <w:szCs w:val="24"/>
            </w:rPr>
            <w:t> (</w:t>
          </w:r>
          <w:r w:rsidRPr="004837BB">
            <w:rPr>
              <w:sz w:val="24"/>
              <w:szCs w:val="24"/>
              <w:lang w:val="en-US"/>
            </w:rPr>
            <w:t>E-ISSN</w:t>
          </w:r>
          <w:r w:rsidRPr="004837BB">
            <w:rPr>
              <w:sz w:val="24"/>
              <w:szCs w:val="24"/>
            </w:rPr>
            <w:t>)</w:t>
          </w:r>
        </w:p>
        <w:p w14:paraId="3F31A237" w14:textId="77777777" w:rsidR="00B61E96" w:rsidRPr="004837BB" w:rsidRDefault="00B61E96" w:rsidP="00B61E96">
          <w:pPr>
            <w:tabs>
              <w:tab w:val="center" w:pos="4513"/>
              <w:tab w:val="right" w:pos="9026"/>
            </w:tabs>
            <w:rPr>
              <w:color w:val="000000"/>
              <w:sz w:val="18"/>
              <w:szCs w:val="18"/>
              <w:lang w:val="en-US"/>
            </w:rPr>
          </w:pPr>
          <w:r w:rsidRPr="004837BB">
            <w:rPr>
              <w:color w:val="000000"/>
              <w:sz w:val="18"/>
              <w:szCs w:val="18"/>
              <w:lang w:val="en-US"/>
            </w:rPr>
            <w:t xml:space="preserve">open access at: </w:t>
          </w:r>
          <w:hyperlink r:id="rId3" w:history="1">
            <w:r w:rsidRPr="004837BB">
              <w:rPr>
                <w:rStyle w:val="Hyperlink"/>
                <w:sz w:val="18"/>
                <w:szCs w:val="18"/>
              </w:rPr>
              <w:t>https://akurasi.unram.ac.id</w:t>
            </w:r>
          </w:hyperlink>
          <w:r w:rsidRPr="004837BB">
            <w:rPr>
              <w:sz w:val="18"/>
              <w:szCs w:val="18"/>
              <w:lang w:val="en-US"/>
            </w:rPr>
            <w:t xml:space="preserve"> </w:t>
          </w:r>
        </w:p>
      </w:tc>
    </w:tr>
  </w:tbl>
  <w:p w14:paraId="31E431F2" w14:textId="2DBB6084" w:rsidR="008D480F" w:rsidRPr="00B61E96" w:rsidRDefault="008D480F" w:rsidP="00B61E96">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7" w:type="dxa"/>
      <w:tblBorders>
        <w:top w:val="single" w:sz="4" w:space="0" w:color="B2A1C7" w:themeColor="accent4"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0"/>
      <w:gridCol w:w="737"/>
    </w:tblGrid>
    <w:tr w:rsidR="00B61E96" w:rsidRPr="004837BB" w14:paraId="0387C2A1" w14:textId="77777777" w:rsidTr="00C50CFE">
      <w:trPr>
        <w:trHeight w:val="567"/>
      </w:trPr>
      <w:tc>
        <w:tcPr>
          <w:tcW w:w="8050" w:type="dxa"/>
          <w:vAlign w:val="center"/>
        </w:tcPr>
        <w:p w14:paraId="381034AA" w14:textId="77777777" w:rsidR="00B61E96" w:rsidRPr="004837BB" w:rsidRDefault="00B61E96" w:rsidP="00B61E96">
          <w:pPr>
            <w:tabs>
              <w:tab w:val="left" w:pos="4706"/>
              <w:tab w:val="right" w:pos="9026"/>
            </w:tabs>
            <w:rPr>
              <w:color w:val="000000"/>
              <w:sz w:val="10"/>
              <w:szCs w:val="10"/>
            </w:rPr>
          </w:pPr>
          <w:hyperlink r:id="rId1" w:tgtFrame="_blank" w:tooltip="p-issn" w:history="1">
            <w:r w:rsidRPr="004837BB">
              <w:rPr>
                <w:rStyle w:val="Hyperlink"/>
                <w:b/>
                <w:bCs/>
                <w:color w:val="101E5A"/>
                <w:sz w:val="24"/>
                <w:szCs w:val="24"/>
              </w:rPr>
              <w:t>2720-9067</w:t>
            </w:r>
          </w:hyperlink>
          <w:r w:rsidRPr="004837BB">
            <w:rPr>
              <w:sz w:val="24"/>
              <w:szCs w:val="24"/>
            </w:rPr>
            <w:t> (</w:t>
          </w:r>
          <w:r w:rsidRPr="004837BB">
            <w:rPr>
              <w:sz w:val="24"/>
              <w:szCs w:val="24"/>
              <w:lang w:val="en-US"/>
            </w:rPr>
            <w:t>ISSN</w:t>
          </w:r>
          <w:r w:rsidRPr="004837BB">
            <w:rPr>
              <w:sz w:val="24"/>
              <w:szCs w:val="24"/>
            </w:rPr>
            <w:t>), </w:t>
          </w:r>
          <w:hyperlink r:id="rId2" w:tgtFrame="_blank" w:tooltip="issn" w:history="1">
            <w:r w:rsidRPr="004837BB">
              <w:rPr>
                <w:rStyle w:val="Hyperlink"/>
                <w:b/>
                <w:bCs/>
                <w:color w:val="101E5A"/>
                <w:sz w:val="24"/>
                <w:szCs w:val="24"/>
              </w:rPr>
              <w:t>2685-1059</w:t>
            </w:r>
          </w:hyperlink>
          <w:r w:rsidRPr="004837BB">
            <w:rPr>
              <w:sz w:val="24"/>
              <w:szCs w:val="24"/>
            </w:rPr>
            <w:t> (</w:t>
          </w:r>
          <w:r w:rsidRPr="004837BB">
            <w:rPr>
              <w:sz w:val="24"/>
              <w:szCs w:val="24"/>
              <w:lang w:val="en-US"/>
            </w:rPr>
            <w:t>E-ISSN</w:t>
          </w:r>
          <w:r w:rsidRPr="004837BB">
            <w:rPr>
              <w:sz w:val="24"/>
              <w:szCs w:val="24"/>
            </w:rPr>
            <w:t>)</w:t>
          </w:r>
        </w:p>
        <w:p w14:paraId="60C13100" w14:textId="77777777" w:rsidR="00B61E96" w:rsidRPr="004837BB" w:rsidRDefault="00B61E96" w:rsidP="00B61E96">
          <w:pPr>
            <w:tabs>
              <w:tab w:val="center" w:pos="4513"/>
              <w:tab w:val="right" w:pos="9026"/>
            </w:tabs>
            <w:rPr>
              <w:color w:val="000000"/>
              <w:sz w:val="18"/>
              <w:szCs w:val="18"/>
            </w:rPr>
          </w:pPr>
          <w:r w:rsidRPr="004837BB">
            <w:rPr>
              <w:color w:val="000000"/>
              <w:sz w:val="18"/>
              <w:szCs w:val="18"/>
              <w:lang w:val="en-US"/>
            </w:rPr>
            <w:t xml:space="preserve">open access at: </w:t>
          </w:r>
          <w:hyperlink r:id="rId3" w:history="1">
            <w:r w:rsidRPr="004837BB">
              <w:rPr>
                <w:rStyle w:val="Hyperlink"/>
                <w:sz w:val="18"/>
                <w:szCs w:val="18"/>
              </w:rPr>
              <w:t>https://akurasi.unram.ac.id</w:t>
            </w:r>
          </w:hyperlink>
        </w:p>
      </w:tc>
      <w:tc>
        <w:tcPr>
          <w:tcW w:w="737" w:type="dxa"/>
          <w:shd w:val="clear" w:color="auto" w:fill="E5DFEC" w:themeFill="accent4" w:themeFillTint="33"/>
          <w:vAlign w:val="center"/>
        </w:tcPr>
        <w:p w14:paraId="6E81C5A2" w14:textId="77777777" w:rsidR="00B61E96" w:rsidRPr="004837BB" w:rsidRDefault="00B61E96" w:rsidP="00B61E96">
          <w:pPr>
            <w:tabs>
              <w:tab w:val="center" w:pos="4513"/>
              <w:tab w:val="right" w:pos="9026"/>
            </w:tabs>
            <w:jc w:val="center"/>
            <w:rPr>
              <w:color w:val="000000"/>
              <w:lang w:val="en-US"/>
            </w:rPr>
          </w:pPr>
          <w:r w:rsidRPr="004837BB">
            <w:rPr>
              <w:color w:val="000000"/>
            </w:rPr>
            <w:fldChar w:fldCharType="begin"/>
          </w:r>
          <w:r w:rsidRPr="004837BB">
            <w:rPr>
              <w:color w:val="000000"/>
            </w:rPr>
            <w:instrText xml:space="preserve"> PAGE   \* MERGEFORMAT </w:instrText>
          </w:r>
          <w:r w:rsidRPr="004837BB">
            <w:rPr>
              <w:color w:val="000000"/>
            </w:rPr>
            <w:fldChar w:fldCharType="separate"/>
          </w:r>
          <w:r>
            <w:rPr>
              <w:color w:val="000000"/>
            </w:rPr>
            <w:t>129</w:t>
          </w:r>
          <w:r w:rsidRPr="004837BB">
            <w:rPr>
              <w:noProof/>
              <w:color w:val="000000"/>
            </w:rPr>
            <w:fldChar w:fldCharType="end"/>
          </w:r>
        </w:p>
      </w:tc>
    </w:tr>
  </w:tbl>
  <w:p w14:paraId="35DB0171" w14:textId="4881D68A" w:rsidR="00FE0406" w:rsidRPr="00B61E96" w:rsidRDefault="00FE0406" w:rsidP="00B61E96">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7" w:type="dxa"/>
      <w:tblBorders>
        <w:top w:val="single" w:sz="4" w:space="0" w:color="B2A1C7" w:themeColor="accent4"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0"/>
      <w:gridCol w:w="737"/>
    </w:tblGrid>
    <w:tr w:rsidR="00B61E96" w:rsidRPr="004837BB" w14:paraId="54799957" w14:textId="77777777" w:rsidTr="00C50CFE">
      <w:trPr>
        <w:trHeight w:val="567"/>
      </w:trPr>
      <w:tc>
        <w:tcPr>
          <w:tcW w:w="8050" w:type="dxa"/>
          <w:vAlign w:val="center"/>
        </w:tcPr>
        <w:p w14:paraId="57B1F235" w14:textId="218DD2FF" w:rsidR="00B61E96" w:rsidRPr="004837BB" w:rsidRDefault="00B61E96" w:rsidP="00B61E96">
          <w:pPr>
            <w:tabs>
              <w:tab w:val="left" w:pos="4365"/>
              <w:tab w:val="left" w:pos="4706"/>
              <w:tab w:val="right" w:pos="9026"/>
            </w:tabs>
            <w:rPr>
              <w:color w:val="000000"/>
              <w:sz w:val="16"/>
              <w:szCs w:val="16"/>
              <w:lang w:val="en-US"/>
            </w:rPr>
          </w:pPr>
          <w:r w:rsidRPr="004837BB">
            <w:rPr>
              <w:sz w:val="16"/>
              <w:szCs w:val="16"/>
              <w:shd w:val="clear" w:color="auto" w:fill="FFFFFF"/>
            </w:rPr>
            <w:t>Copyright (c) 2025 by Author(s)</w:t>
          </w:r>
          <w:r w:rsidRPr="004837BB">
            <w:rPr>
              <w:noProof/>
              <w:color w:val="000000"/>
              <w:sz w:val="16"/>
              <w:szCs w:val="16"/>
            </w:rPr>
            <w:drawing>
              <wp:anchor distT="0" distB="0" distL="114300" distR="114300" simplePos="0" relativeHeight="251659264" behindDoc="0" locked="0" layoutInCell="1" allowOverlap="1" wp14:anchorId="0E09C38B" wp14:editId="279F6318">
                <wp:simplePos x="0" y="0"/>
                <wp:positionH relativeFrom="column">
                  <wp:posOffset>-3810</wp:posOffset>
                </wp:positionH>
                <wp:positionV relativeFrom="paragraph">
                  <wp:posOffset>1905</wp:posOffset>
                </wp:positionV>
                <wp:extent cx="612425" cy="216000"/>
                <wp:effectExtent l="0" t="0" r="0" b="0"/>
                <wp:wrapSquare wrapText="bothSides"/>
                <wp:docPr id="1760734691" name="Picture 1760734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extLst>
                            <a:ext uri="{28A0092B-C50C-407E-A947-70E740481C1C}">
                              <a14:useLocalDpi xmlns:a14="http://schemas.microsoft.com/office/drawing/2010/main" val="0"/>
                            </a:ext>
                          </a:extLst>
                        </a:blip>
                        <a:stretch>
                          <a:fillRect/>
                        </a:stretch>
                      </pic:blipFill>
                      <pic:spPr>
                        <a:xfrm>
                          <a:off x="0" y="0"/>
                          <a:ext cx="612425" cy="216000"/>
                        </a:xfrm>
                        <a:prstGeom prst="rect">
                          <a:avLst/>
                        </a:prstGeom>
                      </pic:spPr>
                    </pic:pic>
                  </a:graphicData>
                </a:graphic>
                <wp14:sizeRelH relativeFrom="page">
                  <wp14:pctWidth>0</wp14:pctWidth>
                </wp14:sizeRelH>
                <wp14:sizeRelV relativeFrom="page">
                  <wp14:pctHeight>0</wp14:pctHeight>
                </wp14:sizeRelV>
              </wp:anchor>
            </w:drawing>
          </w:r>
          <w:r w:rsidRPr="004837BB">
            <w:rPr>
              <w:color w:val="000000"/>
              <w:sz w:val="16"/>
              <w:szCs w:val="16"/>
            </w:rPr>
            <w:t xml:space="preserve">. </w:t>
          </w:r>
          <w:r w:rsidR="00D9308E" w:rsidRPr="00F54242">
            <w:rPr>
              <w:rFonts w:asciiTheme="minorHAnsi" w:hAnsiTheme="minorHAnsi" w:cstheme="minorHAnsi"/>
              <w:sz w:val="16"/>
              <w:szCs w:val="16"/>
              <w:shd w:val="clear" w:color="auto" w:fill="FFFFFF"/>
            </w:rPr>
            <w:t>This work is licensed under a </w:t>
          </w:r>
          <w:hyperlink r:id="rId2" w:history="1">
            <w:r w:rsidR="00D9308E" w:rsidRPr="00F54242">
              <w:rPr>
                <w:rStyle w:val="Hyperlink"/>
                <w:rFonts w:asciiTheme="minorHAnsi" w:hAnsiTheme="minorHAnsi" w:cstheme="minorHAnsi"/>
                <w:color w:val="101E5A"/>
                <w:sz w:val="16"/>
                <w:szCs w:val="16"/>
                <w:u w:val="none"/>
                <w:shd w:val="clear" w:color="auto" w:fill="FFFFFF"/>
              </w:rPr>
              <w:t>Creative Commons Attribution-ShareAlike 4.0 International License</w:t>
            </w:r>
          </w:hyperlink>
          <w:r w:rsidR="00D9308E" w:rsidRPr="00F54242">
            <w:rPr>
              <w:rFonts w:asciiTheme="minorHAnsi" w:hAnsiTheme="minorHAnsi" w:cstheme="minorHAnsi"/>
              <w:color w:val="000000"/>
              <w:sz w:val="16"/>
              <w:szCs w:val="16"/>
            </w:rPr>
            <w:t>.</w:t>
          </w:r>
          <w:r w:rsidRPr="004837BB">
            <w:rPr>
              <w:color w:val="000000"/>
              <w:sz w:val="16"/>
              <w:szCs w:val="16"/>
              <w:lang w:val="en-US"/>
            </w:rPr>
            <w:t xml:space="preserve"> DOI: </w:t>
          </w:r>
          <w:hyperlink r:id="rId3" w:history="1">
            <w:r w:rsidRPr="00CE482C">
              <w:rPr>
                <w:rStyle w:val="Hyperlink"/>
                <w:sz w:val="16"/>
                <w:szCs w:val="16"/>
                <w:lang w:val="en-US"/>
              </w:rPr>
              <w:t>https://doi.org/10.29303/akurasi.v8i1</w:t>
            </w:r>
            <w:r w:rsidRPr="00CE482C">
              <w:rPr>
                <w:rStyle w:val="Hyperlink"/>
                <w:sz w:val="16"/>
                <w:szCs w:val="16"/>
              </w:rPr>
              <w:t>.</w:t>
            </w:r>
            <w:r w:rsidRPr="00CE482C">
              <w:rPr>
                <w:rStyle w:val="Hyperlink"/>
                <w:sz w:val="16"/>
                <w:szCs w:val="16"/>
                <w:lang w:val="en-US"/>
              </w:rPr>
              <w:t>7</w:t>
            </w:r>
            <w:r w:rsidRPr="00CE482C">
              <w:rPr>
                <w:rStyle w:val="Hyperlink"/>
                <w:sz w:val="16"/>
                <w:szCs w:val="16"/>
              </w:rPr>
              <w:t>0</w:t>
            </w:r>
            <w:r w:rsidRPr="00CE482C">
              <w:rPr>
                <w:rStyle w:val="Hyperlink"/>
                <w:sz w:val="16"/>
                <w:szCs w:val="16"/>
                <w:lang w:val="en-US"/>
              </w:rPr>
              <w:t>1</w:t>
            </w:r>
          </w:hyperlink>
          <w:r w:rsidRPr="008858CC">
            <w:rPr>
              <w:color w:val="000000"/>
              <w:sz w:val="16"/>
              <w:szCs w:val="16"/>
              <w:lang w:val="en-US"/>
            </w:rPr>
            <w:t xml:space="preserve"> </w:t>
          </w:r>
        </w:p>
      </w:tc>
      <w:tc>
        <w:tcPr>
          <w:tcW w:w="737" w:type="dxa"/>
          <w:shd w:val="clear" w:color="auto" w:fill="E5DFEC" w:themeFill="accent4" w:themeFillTint="33"/>
          <w:vAlign w:val="center"/>
        </w:tcPr>
        <w:p w14:paraId="60A5D217" w14:textId="77777777" w:rsidR="00B61E96" w:rsidRPr="004837BB" w:rsidRDefault="00B61E96" w:rsidP="00B61E96">
          <w:pPr>
            <w:tabs>
              <w:tab w:val="center" w:pos="4513"/>
              <w:tab w:val="right" w:pos="9026"/>
            </w:tabs>
            <w:jc w:val="center"/>
            <w:rPr>
              <w:color w:val="000000"/>
              <w:lang w:val="en-US"/>
            </w:rPr>
          </w:pPr>
          <w:r w:rsidRPr="004837BB">
            <w:rPr>
              <w:color w:val="000000"/>
            </w:rPr>
            <w:fldChar w:fldCharType="begin"/>
          </w:r>
          <w:r w:rsidRPr="004837BB">
            <w:rPr>
              <w:color w:val="000000"/>
            </w:rPr>
            <w:instrText xml:space="preserve"> PAGE   \* MERGEFORMAT </w:instrText>
          </w:r>
          <w:r w:rsidRPr="004837BB">
            <w:rPr>
              <w:color w:val="000000"/>
            </w:rPr>
            <w:fldChar w:fldCharType="separate"/>
          </w:r>
          <w:r>
            <w:rPr>
              <w:color w:val="000000"/>
            </w:rPr>
            <w:t>127</w:t>
          </w:r>
          <w:r w:rsidRPr="004837BB">
            <w:rPr>
              <w:noProof/>
              <w:color w:val="000000"/>
            </w:rPr>
            <w:fldChar w:fldCharType="end"/>
          </w:r>
        </w:p>
      </w:tc>
    </w:tr>
  </w:tbl>
  <w:p w14:paraId="0CC1D039" w14:textId="77777777" w:rsidR="00FE0406" w:rsidRPr="00B61E96" w:rsidRDefault="00FE0406" w:rsidP="00B61E96">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03DF" w14:textId="77777777" w:rsidR="00E5707E" w:rsidRDefault="00E5707E">
      <w:pPr>
        <w:spacing w:after="0" w:line="240" w:lineRule="auto"/>
      </w:pPr>
      <w:r>
        <w:separator/>
      </w:r>
    </w:p>
  </w:footnote>
  <w:footnote w:type="continuationSeparator" w:id="0">
    <w:p w14:paraId="4689083F" w14:textId="77777777" w:rsidR="00E5707E" w:rsidRDefault="00E57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8D480F" w:rsidRPr="00E61F72" w14:paraId="6DD9078E" w14:textId="77777777" w:rsidTr="008E06BC">
      <w:trPr>
        <w:trHeight w:val="274"/>
      </w:trPr>
      <w:tc>
        <w:tcPr>
          <w:tcW w:w="8789" w:type="dxa"/>
        </w:tcPr>
        <w:p w14:paraId="24C9D40F" w14:textId="03862C8C" w:rsidR="008D480F" w:rsidRPr="008B1B19" w:rsidRDefault="008D480F" w:rsidP="008D480F">
          <w:pPr>
            <w:rPr>
              <w:rFonts w:asciiTheme="majorBidi" w:hAnsiTheme="majorBidi" w:cstheme="majorBidi"/>
              <w:i/>
              <w:noProof/>
              <w:sz w:val="20"/>
              <w:szCs w:val="20"/>
              <w:lang w:val="en-US"/>
            </w:rPr>
          </w:pPr>
          <w:bookmarkStart w:id="39" w:name="_Hlk138582772"/>
          <w:bookmarkStart w:id="40" w:name="_Hlk138582773"/>
          <w:r w:rsidRPr="003D7851">
            <w:rPr>
              <w:rFonts w:asciiTheme="majorBidi" w:hAnsiTheme="majorBidi" w:cstheme="majorBidi"/>
              <w:i/>
              <w:noProof/>
              <w:sz w:val="20"/>
              <w:szCs w:val="20"/>
            </w:rPr>
            <w:t xml:space="preserve">Jurnal Studi Akuntansi dan Keuangan Vol. </w:t>
          </w:r>
          <w:r>
            <w:rPr>
              <w:rFonts w:asciiTheme="majorBidi" w:hAnsiTheme="majorBidi" w:cstheme="majorBidi"/>
              <w:i/>
              <w:noProof/>
              <w:sz w:val="20"/>
              <w:szCs w:val="20"/>
              <w:lang w:val="en-US"/>
            </w:rPr>
            <w:t>8</w:t>
          </w:r>
          <w:r w:rsidRPr="003D7851">
            <w:rPr>
              <w:rFonts w:asciiTheme="majorBidi" w:hAnsiTheme="majorBidi" w:cstheme="majorBidi"/>
              <w:i/>
              <w:noProof/>
              <w:sz w:val="20"/>
              <w:szCs w:val="20"/>
            </w:rPr>
            <w:t>(</w:t>
          </w:r>
          <w:r>
            <w:rPr>
              <w:rFonts w:asciiTheme="majorBidi" w:hAnsiTheme="majorBidi" w:cstheme="majorBidi"/>
              <w:i/>
              <w:noProof/>
              <w:sz w:val="20"/>
              <w:szCs w:val="20"/>
              <w:lang w:val="en-US"/>
            </w:rPr>
            <w:t>1</w:t>
          </w:r>
          <w:r w:rsidRPr="003D7851">
            <w:rPr>
              <w:rFonts w:asciiTheme="majorBidi" w:hAnsiTheme="majorBidi" w:cstheme="majorBidi"/>
              <w:i/>
              <w:noProof/>
              <w:sz w:val="20"/>
              <w:szCs w:val="20"/>
            </w:rPr>
            <w:t>), 20</w:t>
          </w:r>
          <w:r>
            <w:rPr>
              <w:rFonts w:asciiTheme="majorBidi" w:hAnsiTheme="majorBidi" w:cstheme="majorBidi"/>
              <w:i/>
              <w:noProof/>
              <w:sz w:val="20"/>
              <w:szCs w:val="20"/>
            </w:rPr>
            <w:t>2</w:t>
          </w:r>
          <w:r>
            <w:rPr>
              <w:rFonts w:asciiTheme="majorBidi" w:hAnsiTheme="majorBidi" w:cstheme="majorBidi"/>
              <w:i/>
              <w:noProof/>
              <w:sz w:val="20"/>
              <w:szCs w:val="20"/>
              <w:lang w:val="en-US"/>
            </w:rPr>
            <w:t>5</w:t>
          </w:r>
          <w:r w:rsidRPr="003D7851">
            <w:rPr>
              <w:rFonts w:asciiTheme="majorBidi" w:hAnsiTheme="majorBidi" w:cstheme="majorBidi"/>
              <w:i/>
              <w:noProof/>
              <w:sz w:val="20"/>
              <w:szCs w:val="20"/>
            </w:rPr>
            <w:t xml:space="preserve">, halaman </w:t>
          </w:r>
          <w:r>
            <w:rPr>
              <w:rFonts w:asciiTheme="majorBidi" w:hAnsiTheme="majorBidi" w:cstheme="majorBidi"/>
              <w:i/>
              <w:noProof/>
              <w:sz w:val="20"/>
              <w:szCs w:val="20"/>
            </w:rPr>
            <w:t>1</w:t>
          </w:r>
          <w:r>
            <w:rPr>
              <w:rFonts w:asciiTheme="majorBidi" w:hAnsiTheme="majorBidi" w:cstheme="majorBidi"/>
              <w:i/>
              <w:noProof/>
              <w:sz w:val="20"/>
              <w:szCs w:val="20"/>
              <w:lang w:val="en-US"/>
            </w:rPr>
            <w:t>51</w:t>
          </w:r>
          <w:r>
            <w:rPr>
              <w:rFonts w:asciiTheme="majorBidi" w:hAnsiTheme="majorBidi" w:cstheme="majorBidi"/>
              <w:i/>
              <w:noProof/>
              <w:sz w:val="20"/>
              <w:szCs w:val="20"/>
            </w:rPr>
            <w:t xml:space="preserve"> -</w:t>
          </w:r>
          <w:r>
            <w:rPr>
              <w:rFonts w:asciiTheme="majorBidi" w:hAnsiTheme="majorBidi" w:cstheme="majorBidi"/>
              <w:i/>
              <w:noProof/>
              <w:sz w:val="20"/>
              <w:szCs w:val="20"/>
              <w:lang w:val="en-US"/>
            </w:rPr>
            <w:t xml:space="preserve"> </w:t>
          </w:r>
          <w:r>
            <w:rPr>
              <w:rFonts w:asciiTheme="majorBidi" w:hAnsiTheme="majorBidi" w:cstheme="majorBidi"/>
              <w:i/>
              <w:noProof/>
              <w:sz w:val="20"/>
              <w:lang w:val="en-US"/>
            </w:rPr>
            <w:t>168</w:t>
          </w:r>
        </w:p>
      </w:tc>
    </w:tr>
    <w:bookmarkEnd w:id="39"/>
    <w:bookmarkEnd w:id="40"/>
  </w:tbl>
  <w:p w14:paraId="0B90C113" w14:textId="77777777" w:rsidR="008D480F" w:rsidRDefault="008D4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8D480F" w:rsidRPr="00E61F72" w14:paraId="32CD5F1A" w14:textId="77777777" w:rsidTr="008E06BC">
      <w:trPr>
        <w:trHeight w:val="274"/>
      </w:trPr>
      <w:tc>
        <w:tcPr>
          <w:tcW w:w="8789" w:type="dxa"/>
        </w:tcPr>
        <w:p w14:paraId="37FE5345" w14:textId="3D4A550A" w:rsidR="008D480F" w:rsidRPr="008B1B19" w:rsidRDefault="008D480F" w:rsidP="008D480F">
          <w:pPr>
            <w:jc w:val="right"/>
            <w:rPr>
              <w:rFonts w:asciiTheme="majorBidi" w:hAnsiTheme="majorBidi" w:cstheme="majorBidi"/>
              <w:i/>
              <w:noProof/>
              <w:sz w:val="20"/>
              <w:szCs w:val="20"/>
              <w:lang w:val="en-US"/>
            </w:rPr>
          </w:pPr>
          <w:r w:rsidRPr="003D7851">
            <w:rPr>
              <w:rFonts w:asciiTheme="majorBidi" w:hAnsiTheme="majorBidi" w:cstheme="majorBidi"/>
              <w:i/>
              <w:noProof/>
              <w:sz w:val="20"/>
              <w:szCs w:val="20"/>
            </w:rPr>
            <w:t xml:space="preserve">Jurnal Studi Akuntansi dan Keuangan Vol. </w:t>
          </w:r>
          <w:r>
            <w:rPr>
              <w:rFonts w:asciiTheme="majorBidi" w:hAnsiTheme="majorBidi" w:cstheme="majorBidi"/>
              <w:i/>
              <w:noProof/>
              <w:sz w:val="20"/>
              <w:szCs w:val="20"/>
              <w:lang w:val="en-US"/>
            </w:rPr>
            <w:t>8</w:t>
          </w:r>
          <w:r w:rsidRPr="003D7851">
            <w:rPr>
              <w:rFonts w:asciiTheme="majorBidi" w:hAnsiTheme="majorBidi" w:cstheme="majorBidi"/>
              <w:i/>
              <w:noProof/>
              <w:sz w:val="20"/>
              <w:szCs w:val="20"/>
            </w:rPr>
            <w:t>(</w:t>
          </w:r>
          <w:r>
            <w:rPr>
              <w:rFonts w:asciiTheme="majorBidi" w:hAnsiTheme="majorBidi" w:cstheme="majorBidi"/>
              <w:i/>
              <w:noProof/>
              <w:sz w:val="20"/>
              <w:szCs w:val="20"/>
              <w:lang w:val="en-US"/>
            </w:rPr>
            <w:t>1</w:t>
          </w:r>
          <w:r w:rsidRPr="003D7851">
            <w:rPr>
              <w:rFonts w:asciiTheme="majorBidi" w:hAnsiTheme="majorBidi" w:cstheme="majorBidi"/>
              <w:i/>
              <w:noProof/>
              <w:sz w:val="20"/>
              <w:szCs w:val="20"/>
            </w:rPr>
            <w:t>), 20</w:t>
          </w:r>
          <w:r>
            <w:rPr>
              <w:rFonts w:asciiTheme="majorBidi" w:hAnsiTheme="majorBidi" w:cstheme="majorBidi"/>
              <w:i/>
              <w:noProof/>
              <w:sz w:val="20"/>
              <w:szCs w:val="20"/>
            </w:rPr>
            <w:t>2</w:t>
          </w:r>
          <w:r>
            <w:rPr>
              <w:rFonts w:asciiTheme="majorBidi" w:hAnsiTheme="majorBidi" w:cstheme="majorBidi"/>
              <w:i/>
              <w:noProof/>
              <w:sz w:val="20"/>
              <w:szCs w:val="20"/>
              <w:lang w:val="en-US"/>
            </w:rPr>
            <w:t>5</w:t>
          </w:r>
          <w:r w:rsidRPr="003D7851">
            <w:rPr>
              <w:rFonts w:asciiTheme="majorBidi" w:hAnsiTheme="majorBidi" w:cstheme="majorBidi"/>
              <w:i/>
              <w:noProof/>
              <w:sz w:val="20"/>
              <w:szCs w:val="20"/>
            </w:rPr>
            <w:t xml:space="preserve">, halaman </w:t>
          </w:r>
          <w:r>
            <w:rPr>
              <w:rFonts w:asciiTheme="majorBidi" w:hAnsiTheme="majorBidi" w:cstheme="majorBidi"/>
              <w:i/>
              <w:noProof/>
              <w:sz w:val="20"/>
            </w:rPr>
            <w:t>1</w:t>
          </w:r>
          <w:r>
            <w:rPr>
              <w:rFonts w:asciiTheme="majorBidi" w:hAnsiTheme="majorBidi" w:cstheme="majorBidi"/>
              <w:i/>
              <w:noProof/>
              <w:sz w:val="20"/>
              <w:lang w:val="en-US"/>
            </w:rPr>
            <w:t>51</w:t>
          </w:r>
          <w:r>
            <w:rPr>
              <w:rFonts w:asciiTheme="majorBidi" w:hAnsiTheme="majorBidi" w:cstheme="majorBidi"/>
              <w:i/>
              <w:noProof/>
              <w:sz w:val="20"/>
              <w:szCs w:val="20"/>
            </w:rPr>
            <w:t xml:space="preserve"> -</w:t>
          </w:r>
          <w:r>
            <w:rPr>
              <w:rFonts w:asciiTheme="majorBidi" w:hAnsiTheme="majorBidi" w:cstheme="majorBidi"/>
              <w:i/>
              <w:noProof/>
              <w:sz w:val="20"/>
              <w:szCs w:val="20"/>
              <w:lang w:val="en-US"/>
            </w:rPr>
            <w:t xml:space="preserve"> 168</w:t>
          </w:r>
        </w:p>
      </w:tc>
    </w:tr>
  </w:tbl>
  <w:p w14:paraId="2B9CF174" w14:textId="6EDD39C6" w:rsidR="00FE0406" w:rsidRPr="008D480F" w:rsidRDefault="00FE0406" w:rsidP="008D48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B61E96" w:rsidRPr="00E61F72" w14:paraId="47F4146A" w14:textId="77777777" w:rsidTr="00C50CFE">
      <w:trPr>
        <w:trHeight w:val="274"/>
      </w:trPr>
      <w:tc>
        <w:tcPr>
          <w:tcW w:w="8789" w:type="dxa"/>
        </w:tcPr>
        <w:p w14:paraId="7E4F6C20" w14:textId="3398738E" w:rsidR="00B61E96" w:rsidRPr="00E61A6D" w:rsidRDefault="00B61E96" w:rsidP="00B61E96">
          <w:pPr>
            <w:jc w:val="right"/>
            <w:rPr>
              <w:rFonts w:asciiTheme="majorBidi" w:hAnsiTheme="majorBidi" w:cstheme="majorBidi"/>
              <w:i/>
              <w:noProof/>
              <w:sz w:val="20"/>
              <w:szCs w:val="20"/>
              <w:lang w:val="en-US"/>
            </w:rPr>
          </w:pPr>
          <w:bookmarkStart w:id="41" w:name="_Hlk138582742"/>
          <w:bookmarkStart w:id="42" w:name="_Hlk138582743"/>
          <w:r w:rsidRPr="003D7851">
            <w:rPr>
              <w:rFonts w:asciiTheme="majorBidi" w:hAnsiTheme="majorBidi" w:cstheme="majorBidi"/>
              <w:i/>
              <w:noProof/>
              <w:sz w:val="20"/>
              <w:szCs w:val="20"/>
            </w:rPr>
            <w:t xml:space="preserve">Jurnal Studi Akuntansi dan Keuangan Vol. </w:t>
          </w:r>
          <w:r>
            <w:rPr>
              <w:rFonts w:asciiTheme="majorBidi" w:hAnsiTheme="majorBidi" w:cstheme="majorBidi"/>
              <w:i/>
              <w:noProof/>
              <w:sz w:val="20"/>
              <w:szCs w:val="20"/>
              <w:lang w:val="en-US"/>
            </w:rPr>
            <w:t>8</w:t>
          </w:r>
          <w:r w:rsidRPr="003D7851">
            <w:rPr>
              <w:rFonts w:asciiTheme="majorBidi" w:hAnsiTheme="majorBidi" w:cstheme="majorBidi"/>
              <w:i/>
              <w:noProof/>
              <w:sz w:val="20"/>
              <w:szCs w:val="20"/>
            </w:rPr>
            <w:t>(</w:t>
          </w:r>
          <w:r>
            <w:rPr>
              <w:rFonts w:asciiTheme="majorBidi" w:hAnsiTheme="majorBidi" w:cstheme="majorBidi"/>
              <w:i/>
              <w:noProof/>
              <w:sz w:val="20"/>
              <w:szCs w:val="20"/>
              <w:lang w:val="en-US"/>
            </w:rPr>
            <w:t>1</w:t>
          </w:r>
          <w:r w:rsidRPr="003D7851">
            <w:rPr>
              <w:rFonts w:asciiTheme="majorBidi" w:hAnsiTheme="majorBidi" w:cstheme="majorBidi"/>
              <w:i/>
              <w:noProof/>
              <w:sz w:val="20"/>
              <w:szCs w:val="20"/>
            </w:rPr>
            <w:t>), 20</w:t>
          </w:r>
          <w:r>
            <w:rPr>
              <w:rFonts w:asciiTheme="majorBidi" w:hAnsiTheme="majorBidi" w:cstheme="majorBidi"/>
              <w:i/>
              <w:noProof/>
              <w:sz w:val="20"/>
              <w:szCs w:val="20"/>
            </w:rPr>
            <w:t>2</w:t>
          </w:r>
          <w:r>
            <w:rPr>
              <w:rFonts w:asciiTheme="majorBidi" w:hAnsiTheme="majorBidi" w:cstheme="majorBidi"/>
              <w:i/>
              <w:noProof/>
              <w:sz w:val="20"/>
              <w:szCs w:val="20"/>
              <w:lang w:val="en-US"/>
            </w:rPr>
            <w:t>5</w:t>
          </w:r>
          <w:r w:rsidRPr="003D7851">
            <w:rPr>
              <w:rFonts w:asciiTheme="majorBidi" w:hAnsiTheme="majorBidi" w:cstheme="majorBidi"/>
              <w:i/>
              <w:noProof/>
              <w:sz w:val="20"/>
              <w:szCs w:val="20"/>
            </w:rPr>
            <w:t xml:space="preserve">, halaman </w:t>
          </w:r>
          <w:r>
            <w:rPr>
              <w:rFonts w:asciiTheme="majorBidi" w:hAnsiTheme="majorBidi" w:cstheme="majorBidi"/>
              <w:i/>
              <w:noProof/>
              <w:sz w:val="20"/>
            </w:rPr>
            <w:t>1</w:t>
          </w:r>
          <w:r>
            <w:rPr>
              <w:rFonts w:asciiTheme="majorBidi" w:hAnsiTheme="majorBidi" w:cstheme="majorBidi"/>
              <w:i/>
              <w:noProof/>
              <w:sz w:val="20"/>
              <w:lang w:val="en-US"/>
            </w:rPr>
            <w:t>51</w:t>
          </w:r>
          <w:r>
            <w:rPr>
              <w:rFonts w:asciiTheme="majorBidi" w:hAnsiTheme="majorBidi" w:cstheme="majorBidi"/>
              <w:i/>
              <w:noProof/>
              <w:sz w:val="20"/>
              <w:szCs w:val="20"/>
            </w:rPr>
            <w:t xml:space="preserve"> -</w:t>
          </w:r>
          <w:r>
            <w:rPr>
              <w:rFonts w:asciiTheme="majorBidi" w:hAnsiTheme="majorBidi" w:cstheme="majorBidi"/>
              <w:i/>
              <w:noProof/>
              <w:sz w:val="20"/>
              <w:szCs w:val="20"/>
              <w:lang w:val="en-US"/>
            </w:rPr>
            <w:t>168</w:t>
          </w:r>
        </w:p>
      </w:tc>
    </w:tr>
    <w:bookmarkEnd w:id="41"/>
    <w:bookmarkEnd w:id="42"/>
  </w:tbl>
  <w:p w14:paraId="158FEDF7" w14:textId="7141A477" w:rsidR="00FE0406" w:rsidRPr="00B61E96" w:rsidRDefault="00FE0406" w:rsidP="00B61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345AC"/>
    <w:multiLevelType w:val="multilevel"/>
    <w:tmpl w:val="3C8AFDA8"/>
    <w:lvl w:ilvl="0">
      <w:start w:val="1"/>
      <w:numFmt w:val="decimal"/>
      <w:lvlText w:val="%1."/>
      <w:lvlJc w:val="left"/>
      <w:pPr>
        <w:ind w:left="720" w:hanging="360"/>
      </w:pPr>
    </w:lvl>
    <w:lvl w:ilvl="1">
      <w:start w:val="1"/>
      <w:numFmt w:val="decimal"/>
      <w:lvlText w:val="%1.%2."/>
      <w:lvlJc w:val="left"/>
      <w:pPr>
        <w:ind w:left="720" w:hanging="360"/>
      </w:pPr>
      <w:rPr>
        <w:i w:val="0"/>
      </w:rPr>
    </w:lvl>
    <w:lvl w:ilvl="2">
      <w:start w:val="1"/>
      <w:numFmt w:val="decimal"/>
      <w:lvlText w:val="%1.%2.%3."/>
      <w:lvlJc w:val="left"/>
      <w:pPr>
        <w:ind w:left="1080" w:hanging="720"/>
      </w:pPr>
      <w:rPr>
        <w:i w:val="0"/>
      </w:rPr>
    </w:lvl>
    <w:lvl w:ilvl="3">
      <w:start w:val="1"/>
      <w:numFmt w:val="decimal"/>
      <w:lvlText w:val="%1.%2.%3.%4."/>
      <w:lvlJc w:val="left"/>
      <w:pPr>
        <w:ind w:left="1080" w:hanging="720"/>
      </w:pPr>
      <w:rPr>
        <w:i w:val="0"/>
      </w:rPr>
    </w:lvl>
    <w:lvl w:ilvl="4">
      <w:start w:val="1"/>
      <w:numFmt w:val="decimal"/>
      <w:lvlText w:val="%1.%2.%3.%4.%5."/>
      <w:lvlJc w:val="left"/>
      <w:pPr>
        <w:ind w:left="1440" w:hanging="1080"/>
      </w:pPr>
      <w:rPr>
        <w:i w:val="0"/>
      </w:rPr>
    </w:lvl>
    <w:lvl w:ilvl="5">
      <w:start w:val="1"/>
      <w:numFmt w:val="decimal"/>
      <w:lvlText w:val="%1.%2.%3.%4.%5.%6."/>
      <w:lvlJc w:val="left"/>
      <w:pPr>
        <w:ind w:left="1440" w:hanging="1080"/>
      </w:pPr>
      <w:rPr>
        <w:i w:val="0"/>
      </w:rPr>
    </w:lvl>
    <w:lvl w:ilvl="6">
      <w:start w:val="1"/>
      <w:numFmt w:val="decimal"/>
      <w:lvlText w:val="%1.%2.%3.%4.%5.%6.%7."/>
      <w:lvlJc w:val="left"/>
      <w:pPr>
        <w:ind w:left="1800" w:hanging="1440"/>
      </w:pPr>
      <w:rPr>
        <w:i w:val="0"/>
      </w:rPr>
    </w:lvl>
    <w:lvl w:ilvl="7">
      <w:start w:val="1"/>
      <w:numFmt w:val="decimal"/>
      <w:lvlText w:val="%1.%2.%3.%4.%5.%6.%7.%8."/>
      <w:lvlJc w:val="left"/>
      <w:pPr>
        <w:ind w:left="1800" w:hanging="1440"/>
      </w:pPr>
      <w:rPr>
        <w:i w:val="0"/>
      </w:rPr>
    </w:lvl>
    <w:lvl w:ilvl="8">
      <w:start w:val="1"/>
      <w:numFmt w:val="decimal"/>
      <w:lvlText w:val="%1.%2.%3.%4.%5.%6.%7.%8.%9."/>
      <w:lvlJc w:val="left"/>
      <w:pPr>
        <w:ind w:left="2160" w:hanging="1800"/>
      </w:pPr>
      <w:rPr>
        <w:i w:val="0"/>
      </w:rPr>
    </w:lvl>
  </w:abstractNum>
  <w:abstractNum w:abstractNumId="1" w15:restartNumberingAfterBreak="0">
    <w:nsid w:val="51630CBD"/>
    <w:multiLevelType w:val="hybridMultilevel"/>
    <w:tmpl w:val="C2C0CF76"/>
    <w:lvl w:ilvl="0" w:tplc="0421000F">
      <w:start w:val="1"/>
      <w:numFmt w:val="decimal"/>
      <w:lvlText w:val="%1."/>
      <w:lvlJc w:val="left"/>
      <w:pPr>
        <w:ind w:left="1078" w:hanging="360"/>
      </w:pPr>
    </w:lvl>
    <w:lvl w:ilvl="1" w:tplc="04210019" w:tentative="1">
      <w:start w:val="1"/>
      <w:numFmt w:val="lowerLetter"/>
      <w:lvlText w:val="%2."/>
      <w:lvlJc w:val="left"/>
      <w:pPr>
        <w:ind w:left="1798" w:hanging="360"/>
      </w:pPr>
    </w:lvl>
    <w:lvl w:ilvl="2" w:tplc="0421001B" w:tentative="1">
      <w:start w:val="1"/>
      <w:numFmt w:val="lowerRoman"/>
      <w:lvlText w:val="%3."/>
      <w:lvlJc w:val="right"/>
      <w:pPr>
        <w:ind w:left="2518" w:hanging="180"/>
      </w:pPr>
    </w:lvl>
    <w:lvl w:ilvl="3" w:tplc="0421000F" w:tentative="1">
      <w:start w:val="1"/>
      <w:numFmt w:val="decimal"/>
      <w:lvlText w:val="%4."/>
      <w:lvlJc w:val="left"/>
      <w:pPr>
        <w:ind w:left="3238" w:hanging="360"/>
      </w:pPr>
    </w:lvl>
    <w:lvl w:ilvl="4" w:tplc="04210019" w:tentative="1">
      <w:start w:val="1"/>
      <w:numFmt w:val="lowerLetter"/>
      <w:lvlText w:val="%5."/>
      <w:lvlJc w:val="left"/>
      <w:pPr>
        <w:ind w:left="3958" w:hanging="360"/>
      </w:pPr>
    </w:lvl>
    <w:lvl w:ilvl="5" w:tplc="0421001B" w:tentative="1">
      <w:start w:val="1"/>
      <w:numFmt w:val="lowerRoman"/>
      <w:lvlText w:val="%6."/>
      <w:lvlJc w:val="right"/>
      <w:pPr>
        <w:ind w:left="4678" w:hanging="180"/>
      </w:pPr>
    </w:lvl>
    <w:lvl w:ilvl="6" w:tplc="0421000F" w:tentative="1">
      <w:start w:val="1"/>
      <w:numFmt w:val="decimal"/>
      <w:lvlText w:val="%7."/>
      <w:lvlJc w:val="left"/>
      <w:pPr>
        <w:ind w:left="5398" w:hanging="360"/>
      </w:pPr>
    </w:lvl>
    <w:lvl w:ilvl="7" w:tplc="04210019" w:tentative="1">
      <w:start w:val="1"/>
      <w:numFmt w:val="lowerLetter"/>
      <w:lvlText w:val="%8."/>
      <w:lvlJc w:val="left"/>
      <w:pPr>
        <w:ind w:left="6118" w:hanging="360"/>
      </w:pPr>
    </w:lvl>
    <w:lvl w:ilvl="8" w:tplc="0421001B" w:tentative="1">
      <w:start w:val="1"/>
      <w:numFmt w:val="lowerRoman"/>
      <w:lvlText w:val="%9."/>
      <w:lvlJc w:val="right"/>
      <w:pPr>
        <w:ind w:left="6838" w:hanging="180"/>
      </w:pPr>
    </w:lvl>
  </w:abstractNum>
  <w:abstractNum w:abstractNumId="2" w15:restartNumberingAfterBreak="0">
    <w:nsid w:val="5BC85800"/>
    <w:multiLevelType w:val="hybridMultilevel"/>
    <w:tmpl w:val="E056084C"/>
    <w:lvl w:ilvl="0" w:tplc="C914AE2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16cid:durableId="735395558">
    <w:abstractNumId w:val="0"/>
  </w:num>
  <w:num w:numId="2" w16cid:durableId="2072996574">
    <w:abstractNumId w:val="1"/>
  </w:num>
  <w:num w:numId="3" w16cid:durableId="717361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yNDezsDC1NDQxtDBX0lEKTi0uzszPAykwrwUAH/F9NCwAAAA="/>
  </w:docVars>
  <w:rsids>
    <w:rsidRoot w:val="00FE0406"/>
    <w:rsid w:val="00004D53"/>
    <w:rsid w:val="000164B3"/>
    <w:rsid w:val="0002480F"/>
    <w:rsid w:val="00036430"/>
    <w:rsid w:val="000371A1"/>
    <w:rsid w:val="000615AA"/>
    <w:rsid w:val="00061FF0"/>
    <w:rsid w:val="00071FD6"/>
    <w:rsid w:val="000D175F"/>
    <w:rsid w:val="000F3AC0"/>
    <w:rsid w:val="00155DF9"/>
    <w:rsid w:val="00177399"/>
    <w:rsid w:val="00183145"/>
    <w:rsid w:val="001C4A35"/>
    <w:rsid w:val="001D05D2"/>
    <w:rsid w:val="001D757C"/>
    <w:rsid w:val="001F0ECB"/>
    <w:rsid w:val="001F1B71"/>
    <w:rsid w:val="00236193"/>
    <w:rsid w:val="002D3816"/>
    <w:rsid w:val="002F370D"/>
    <w:rsid w:val="00311E72"/>
    <w:rsid w:val="00324E36"/>
    <w:rsid w:val="00333370"/>
    <w:rsid w:val="00337F23"/>
    <w:rsid w:val="00346A8C"/>
    <w:rsid w:val="00354759"/>
    <w:rsid w:val="00356543"/>
    <w:rsid w:val="00363ABF"/>
    <w:rsid w:val="0036470F"/>
    <w:rsid w:val="00371AAF"/>
    <w:rsid w:val="00381AD9"/>
    <w:rsid w:val="00396873"/>
    <w:rsid w:val="003B7C2A"/>
    <w:rsid w:val="003C6F34"/>
    <w:rsid w:val="003D0C36"/>
    <w:rsid w:val="003D2926"/>
    <w:rsid w:val="00403372"/>
    <w:rsid w:val="00431708"/>
    <w:rsid w:val="004529FC"/>
    <w:rsid w:val="004603D9"/>
    <w:rsid w:val="00467747"/>
    <w:rsid w:val="004A7164"/>
    <w:rsid w:val="004B3F57"/>
    <w:rsid w:val="004E383F"/>
    <w:rsid w:val="005261B1"/>
    <w:rsid w:val="005405AC"/>
    <w:rsid w:val="0055795D"/>
    <w:rsid w:val="00570B39"/>
    <w:rsid w:val="0058075D"/>
    <w:rsid w:val="00584023"/>
    <w:rsid w:val="00590333"/>
    <w:rsid w:val="005937A6"/>
    <w:rsid w:val="00594A78"/>
    <w:rsid w:val="005A7A86"/>
    <w:rsid w:val="005B6025"/>
    <w:rsid w:val="005D0991"/>
    <w:rsid w:val="005E1757"/>
    <w:rsid w:val="00606A0C"/>
    <w:rsid w:val="00612E6A"/>
    <w:rsid w:val="00652FF3"/>
    <w:rsid w:val="00672A07"/>
    <w:rsid w:val="006809C7"/>
    <w:rsid w:val="00683573"/>
    <w:rsid w:val="00686421"/>
    <w:rsid w:val="006946B9"/>
    <w:rsid w:val="006B01CD"/>
    <w:rsid w:val="006B1F97"/>
    <w:rsid w:val="006B2D7A"/>
    <w:rsid w:val="006D4A01"/>
    <w:rsid w:val="006E555A"/>
    <w:rsid w:val="00706D1A"/>
    <w:rsid w:val="00712BF7"/>
    <w:rsid w:val="007150A7"/>
    <w:rsid w:val="00731908"/>
    <w:rsid w:val="00742B7F"/>
    <w:rsid w:val="00751D38"/>
    <w:rsid w:val="007525D1"/>
    <w:rsid w:val="00752CFB"/>
    <w:rsid w:val="00785F8C"/>
    <w:rsid w:val="007A0399"/>
    <w:rsid w:val="007A3B40"/>
    <w:rsid w:val="007A76C0"/>
    <w:rsid w:val="007B0604"/>
    <w:rsid w:val="007E2745"/>
    <w:rsid w:val="007E3513"/>
    <w:rsid w:val="007F3DFF"/>
    <w:rsid w:val="00811ED6"/>
    <w:rsid w:val="00822490"/>
    <w:rsid w:val="00824487"/>
    <w:rsid w:val="00831F6E"/>
    <w:rsid w:val="00847A12"/>
    <w:rsid w:val="008508E5"/>
    <w:rsid w:val="00863945"/>
    <w:rsid w:val="008777FD"/>
    <w:rsid w:val="00884CB8"/>
    <w:rsid w:val="00895C2F"/>
    <w:rsid w:val="008A40C6"/>
    <w:rsid w:val="008A790B"/>
    <w:rsid w:val="008A7AB4"/>
    <w:rsid w:val="008C7AA7"/>
    <w:rsid w:val="008D480F"/>
    <w:rsid w:val="00901A32"/>
    <w:rsid w:val="00903B80"/>
    <w:rsid w:val="009077FD"/>
    <w:rsid w:val="009160C1"/>
    <w:rsid w:val="00927148"/>
    <w:rsid w:val="00932948"/>
    <w:rsid w:val="00935C7F"/>
    <w:rsid w:val="00936C81"/>
    <w:rsid w:val="00942B06"/>
    <w:rsid w:val="00951EAA"/>
    <w:rsid w:val="00953FEC"/>
    <w:rsid w:val="00980722"/>
    <w:rsid w:val="00984567"/>
    <w:rsid w:val="009965B7"/>
    <w:rsid w:val="009B1401"/>
    <w:rsid w:val="009C0357"/>
    <w:rsid w:val="009D1A3E"/>
    <w:rsid w:val="00A1083F"/>
    <w:rsid w:val="00A30AB1"/>
    <w:rsid w:val="00A50C95"/>
    <w:rsid w:val="00A53711"/>
    <w:rsid w:val="00A61532"/>
    <w:rsid w:val="00A626AF"/>
    <w:rsid w:val="00A727F1"/>
    <w:rsid w:val="00A74FEF"/>
    <w:rsid w:val="00A97786"/>
    <w:rsid w:val="00AB0CF1"/>
    <w:rsid w:val="00AC7041"/>
    <w:rsid w:val="00AE3ECC"/>
    <w:rsid w:val="00B0325B"/>
    <w:rsid w:val="00B044FE"/>
    <w:rsid w:val="00B1038E"/>
    <w:rsid w:val="00B13705"/>
    <w:rsid w:val="00B21E56"/>
    <w:rsid w:val="00B355AF"/>
    <w:rsid w:val="00B36D37"/>
    <w:rsid w:val="00B61E96"/>
    <w:rsid w:val="00B62FEB"/>
    <w:rsid w:val="00B657B8"/>
    <w:rsid w:val="00B75348"/>
    <w:rsid w:val="00B91EDF"/>
    <w:rsid w:val="00B9236A"/>
    <w:rsid w:val="00BA111D"/>
    <w:rsid w:val="00BE4252"/>
    <w:rsid w:val="00BF1534"/>
    <w:rsid w:val="00C0079A"/>
    <w:rsid w:val="00C22CA1"/>
    <w:rsid w:val="00C27AA2"/>
    <w:rsid w:val="00C44949"/>
    <w:rsid w:val="00C634EA"/>
    <w:rsid w:val="00C67D9E"/>
    <w:rsid w:val="00CA2F34"/>
    <w:rsid w:val="00CC07BF"/>
    <w:rsid w:val="00CF7AC6"/>
    <w:rsid w:val="00D040E8"/>
    <w:rsid w:val="00D158E4"/>
    <w:rsid w:val="00D17748"/>
    <w:rsid w:val="00D24DC6"/>
    <w:rsid w:val="00D31416"/>
    <w:rsid w:val="00D462AF"/>
    <w:rsid w:val="00D5111D"/>
    <w:rsid w:val="00D621C5"/>
    <w:rsid w:val="00D75AE5"/>
    <w:rsid w:val="00D917E3"/>
    <w:rsid w:val="00D9308E"/>
    <w:rsid w:val="00D97D90"/>
    <w:rsid w:val="00DC4709"/>
    <w:rsid w:val="00DD07D5"/>
    <w:rsid w:val="00DE1456"/>
    <w:rsid w:val="00DE2EE6"/>
    <w:rsid w:val="00DE6A2E"/>
    <w:rsid w:val="00DF2967"/>
    <w:rsid w:val="00E31919"/>
    <w:rsid w:val="00E37FA5"/>
    <w:rsid w:val="00E5707E"/>
    <w:rsid w:val="00E66029"/>
    <w:rsid w:val="00E76E65"/>
    <w:rsid w:val="00E81098"/>
    <w:rsid w:val="00E8109B"/>
    <w:rsid w:val="00EB54FB"/>
    <w:rsid w:val="00EC1F8D"/>
    <w:rsid w:val="00ED4051"/>
    <w:rsid w:val="00EE4770"/>
    <w:rsid w:val="00EE5390"/>
    <w:rsid w:val="00EF6A28"/>
    <w:rsid w:val="00F5339B"/>
    <w:rsid w:val="00F61006"/>
    <w:rsid w:val="00F62B71"/>
    <w:rsid w:val="00F70DDB"/>
    <w:rsid w:val="00FD4B2C"/>
    <w:rsid w:val="00FE0406"/>
    <w:rsid w:val="00FE6F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C065"/>
  <w15:docId w15:val="{CED82D69-38F7-47E9-849D-24E21A81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5D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881BE3"/>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8D25D3"/>
    <w:rPr>
      <w:color w:val="0000FF" w:themeColor="hyperlink"/>
      <w:u w:val="single"/>
    </w:rPr>
  </w:style>
  <w:style w:type="paragraph" w:styleId="FootnoteText">
    <w:name w:val="footnote text"/>
    <w:basedOn w:val="Normal"/>
    <w:link w:val="FootnoteTextChar"/>
    <w:uiPriority w:val="99"/>
    <w:semiHidden/>
    <w:unhideWhenUsed/>
    <w:rsid w:val="00A4606D"/>
    <w:pPr>
      <w:spacing w:after="0" w:line="240" w:lineRule="auto"/>
    </w:pPr>
    <w:rPr>
      <w:rFonts w:eastAsiaTheme="minorEastAsia"/>
      <w:sz w:val="20"/>
      <w:szCs w:val="20"/>
      <w:lang w:val="id-ID"/>
    </w:rPr>
  </w:style>
  <w:style w:type="character" w:customStyle="1" w:styleId="FootnoteTextChar">
    <w:name w:val="Footnote Text Char"/>
    <w:basedOn w:val="DefaultParagraphFont"/>
    <w:link w:val="FootnoteText"/>
    <w:uiPriority w:val="99"/>
    <w:semiHidden/>
    <w:rsid w:val="00A4606D"/>
    <w:rPr>
      <w:rFonts w:eastAsiaTheme="minorEastAsia"/>
      <w:sz w:val="20"/>
      <w:szCs w:val="20"/>
      <w:lang w:val="id-ID" w:eastAsia="id-ID"/>
    </w:rPr>
  </w:style>
  <w:style w:type="character" w:styleId="FootnoteReference">
    <w:name w:val="footnote reference"/>
    <w:basedOn w:val="DefaultParagraphFont"/>
    <w:uiPriority w:val="99"/>
    <w:semiHidden/>
    <w:unhideWhenUsed/>
    <w:rsid w:val="00A4606D"/>
    <w:rPr>
      <w:vertAlign w:val="superscript"/>
    </w:rPr>
  </w:style>
  <w:style w:type="paragraph" w:styleId="ListParagraph">
    <w:name w:val="List Paragraph"/>
    <w:basedOn w:val="Normal"/>
    <w:uiPriority w:val="34"/>
    <w:qFormat/>
    <w:rsid w:val="005F0763"/>
    <w:pPr>
      <w:ind w:left="720"/>
      <w:contextualSpacing/>
    </w:pPr>
  </w:style>
  <w:style w:type="paragraph" w:customStyle="1" w:styleId="Default">
    <w:name w:val="Default"/>
    <w:rsid w:val="005F0763"/>
    <w:pPr>
      <w:autoSpaceDE w:val="0"/>
      <w:autoSpaceDN w:val="0"/>
      <w:adjustRightInd w:val="0"/>
      <w:spacing w:after="0" w:line="240" w:lineRule="auto"/>
    </w:pPr>
    <w:rPr>
      <w:rFonts w:ascii="Times New Roman" w:eastAsiaTheme="minorEastAsia" w:hAnsi="Times New Roman" w:cs="Times New Roman"/>
      <w:color w:val="000000"/>
      <w:sz w:val="24"/>
      <w:szCs w:val="24"/>
      <w:lang w:val="id-ID"/>
    </w:rPr>
  </w:style>
  <w:style w:type="table" w:styleId="TableGrid">
    <w:name w:val="Table Grid"/>
    <w:basedOn w:val="TableNormal"/>
    <w:uiPriority w:val="59"/>
    <w:qFormat/>
    <w:rsid w:val="00F57AFF"/>
    <w:pPr>
      <w:spacing w:after="0" w:line="240" w:lineRule="auto"/>
    </w:pPr>
    <w:rPr>
      <w:rFonts w:eastAsiaTheme="minorEastAsia"/>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73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8EE"/>
    <w:rPr>
      <w:rFonts w:ascii="Tahoma" w:hAnsi="Tahoma" w:cs="Tahoma"/>
      <w:sz w:val="16"/>
      <w:szCs w:val="16"/>
    </w:rPr>
  </w:style>
  <w:style w:type="table" w:customStyle="1" w:styleId="MediumList11">
    <w:name w:val="Medium List 11"/>
    <w:basedOn w:val="TableNormal"/>
    <w:uiPriority w:val="65"/>
    <w:rsid w:val="00EC472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1">
    <w:name w:val="Light Shading1"/>
    <w:basedOn w:val="TableNormal"/>
    <w:uiPriority w:val="60"/>
    <w:rsid w:val="00275B5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1">
    <w:name w:val="Medium List 111"/>
    <w:basedOn w:val="TableNormal"/>
    <w:uiPriority w:val="65"/>
    <w:rsid w:val="00541E2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CommentReference">
    <w:name w:val="annotation reference"/>
    <w:basedOn w:val="DefaultParagraphFont"/>
    <w:uiPriority w:val="99"/>
    <w:semiHidden/>
    <w:unhideWhenUsed/>
    <w:rsid w:val="002B7474"/>
    <w:rPr>
      <w:sz w:val="16"/>
      <w:szCs w:val="16"/>
    </w:rPr>
  </w:style>
  <w:style w:type="paragraph" w:styleId="CommentText">
    <w:name w:val="annotation text"/>
    <w:basedOn w:val="Normal"/>
    <w:link w:val="CommentTextChar"/>
    <w:uiPriority w:val="99"/>
    <w:semiHidden/>
    <w:unhideWhenUsed/>
    <w:qFormat/>
    <w:rsid w:val="002B7474"/>
    <w:pPr>
      <w:spacing w:line="240" w:lineRule="auto"/>
    </w:pPr>
    <w:rPr>
      <w:rFonts w:eastAsiaTheme="minorEastAsia"/>
      <w:sz w:val="20"/>
      <w:szCs w:val="20"/>
      <w:lang w:val="id-ID"/>
    </w:rPr>
  </w:style>
  <w:style w:type="character" w:customStyle="1" w:styleId="CommentTextChar">
    <w:name w:val="Comment Text Char"/>
    <w:basedOn w:val="DefaultParagraphFont"/>
    <w:link w:val="CommentText"/>
    <w:uiPriority w:val="99"/>
    <w:semiHidden/>
    <w:rsid w:val="002B7474"/>
    <w:rPr>
      <w:rFonts w:eastAsiaTheme="minorEastAsia"/>
      <w:sz w:val="20"/>
      <w:szCs w:val="20"/>
      <w:lang w:val="id-ID" w:eastAsia="id-ID"/>
    </w:rPr>
  </w:style>
  <w:style w:type="paragraph" w:styleId="Header">
    <w:name w:val="header"/>
    <w:aliases w:val="page-number"/>
    <w:basedOn w:val="Normal"/>
    <w:link w:val="HeaderChar"/>
    <w:uiPriority w:val="99"/>
    <w:unhideWhenUsed/>
    <w:qFormat/>
    <w:rsid w:val="00EE3240"/>
    <w:pPr>
      <w:tabs>
        <w:tab w:val="center" w:pos="4513"/>
        <w:tab w:val="right" w:pos="9026"/>
      </w:tabs>
      <w:spacing w:after="0" w:line="240" w:lineRule="auto"/>
    </w:pPr>
  </w:style>
  <w:style w:type="character" w:customStyle="1" w:styleId="HeaderChar">
    <w:name w:val="Header Char"/>
    <w:aliases w:val="page-number Char"/>
    <w:basedOn w:val="DefaultParagraphFont"/>
    <w:link w:val="Header"/>
    <w:uiPriority w:val="99"/>
    <w:qFormat/>
    <w:rsid w:val="00EE3240"/>
  </w:style>
  <w:style w:type="paragraph" w:styleId="Footer">
    <w:name w:val="footer"/>
    <w:aliases w:val="Char,Char6"/>
    <w:basedOn w:val="Normal"/>
    <w:link w:val="FooterChar"/>
    <w:uiPriority w:val="99"/>
    <w:unhideWhenUsed/>
    <w:qFormat/>
    <w:rsid w:val="00EE3240"/>
    <w:pPr>
      <w:tabs>
        <w:tab w:val="center" w:pos="4513"/>
        <w:tab w:val="right" w:pos="9026"/>
      </w:tabs>
      <w:spacing w:after="0" w:line="240" w:lineRule="auto"/>
    </w:pPr>
  </w:style>
  <w:style w:type="character" w:customStyle="1" w:styleId="FooterChar">
    <w:name w:val="Footer Char"/>
    <w:aliases w:val="Char Char,Char6 Char"/>
    <w:basedOn w:val="DefaultParagraphFont"/>
    <w:link w:val="Footer"/>
    <w:uiPriority w:val="99"/>
    <w:qFormat/>
    <w:rsid w:val="00EE3240"/>
  </w:style>
  <w:style w:type="character" w:customStyle="1" w:styleId="A1">
    <w:name w:val="A1"/>
    <w:uiPriority w:val="99"/>
    <w:rsid w:val="00F94602"/>
    <w:rPr>
      <w:rFonts w:cs="Minion Pro"/>
      <w:color w:val="000000"/>
      <w:sz w:val="20"/>
      <w:szCs w:val="20"/>
    </w:rPr>
  </w:style>
  <w:style w:type="character" w:customStyle="1" w:styleId="medium-normal1">
    <w:name w:val="medium-normal1"/>
    <w:uiPriority w:val="99"/>
    <w:rsid w:val="00F94602"/>
    <w:rPr>
      <w:i/>
      <w:iCs/>
      <w:color w:val="000000"/>
    </w:rPr>
  </w:style>
  <w:style w:type="paragraph" w:styleId="DocumentMap">
    <w:name w:val="Document Map"/>
    <w:basedOn w:val="Normal"/>
    <w:link w:val="DocumentMapChar"/>
    <w:uiPriority w:val="99"/>
    <w:semiHidden/>
    <w:unhideWhenUsed/>
    <w:rsid w:val="00797FA7"/>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797FA7"/>
    <w:rPr>
      <w:rFonts w:ascii="Lucida Grande" w:hAnsi="Lucida Grande"/>
      <w:sz w:val="24"/>
      <w:szCs w:val="24"/>
    </w:rPr>
  </w:style>
  <w:style w:type="paragraph" w:styleId="CommentSubject">
    <w:name w:val="annotation subject"/>
    <w:basedOn w:val="CommentText"/>
    <w:next w:val="CommentText"/>
    <w:link w:val="CommentSubjectChar"/>
    <w:uiPriority w:val="99"/>
    <w:semiHidden/>
    <w:unhideWhenUsed/>
    <w:rsid w:val="00797FA7"/>
    <w:rPr>
      <w:rFonts w:eastAsiaTheme="minorHAnsi"/>
      <w:b/>
      <w:bCs/>
      <w:lang w:val="en-US" w:eastAsia="en-US"/>
    </w:rPr>
  </w:style>
  <w:style w:type="character" w:customStyle="1" w:styleId="CommentSubjectChar">
    <w:name w:val="Comment Subject Char"/>
    <w:basedOn w:val="CommentTextChar"/>
    <w:link w:val="CommentSubject"/>
    <w:uiPriority w:val="99"/>
    <w:semiHidden/>
    <w:rsid w:val="00797FA7"/>
    <w:rPr>
      <w:rFonts w:eastAsiaTheme="minorEastAsia"/>
      <w:b/>
      <w:bCs/>
      <w:sz w:val="20"/>
      <w:szCs w:val="20"/>
      <w:lang w:val="id-ID" w:eastAsia="id-ID"/>
    </w:rPr>
  </w:style>
  <w:style w:type="paragraph" w:customStyle="1" w:styleId="ElsAbstractHead">
    <w:name w:val="Els_AbstractHead"/>
    <w:rsid w:val="0022359C"/>
    <w:pPr>
      <w:spacing w:after="0" w:line="240" w:lineRule="auto"/>
    </w:pPr>
    <w:rPr>
      <w:rFonts w:ascii="Times New Roman" w:eastAsia="Times New Roman" w:hAnsi="Times New Roman" w:cs="Times New Roman"/>
      <w:smallCaps/>
      <w:spacing w:val="24"/>
      <w:sz w:val="20"/>
      <w:szCs w:val="20"/>
    </w:rPr>
  </w:style>
  <w:style w:type="paragraph" w:customStyle="1" w:styleId="ElsArticlehistory">
    <w:name w:val="Els_Articlehistory"/>
    <w:rsid w:val="0022359C"/>
    <w:pPr>
      <w:spacing w:after="0" w:line="200" w:lineRule="exact"/>
    </w:pPr>
    <w:rPr>
      <w:rFonts w:ascii="Times New Roman" w:eastAsia="Times New Roman" w:hAnsi="Times New Roman" w:cs="Times New Roman"/>
      <w:i/>
      <w:sz w:val="16"/>
      <w:szCs w:val="20"/>
    </w:rPr>
  </w:style>
  <w:style w:type="paragraph" w:customStyle="1" w:styleId="ElsArticleinfoHead">
    <w:name w:val="Els_ArticleinfoHead"/>
    <w:rsid w:val="0022359C"/>
    <w:pPr>
      <w:spacing w:after="0" w:line="240" w:lineRule="auto"/>
    </w:pPr>
    <w:rPr>
      <w:rFonts w:ascii="Times New Roman" w:eastAsia="Times New Roman" w:hAnsi="Times New Roman" w:cs="Times New Roman"/>
      <w:smallCaps/>
      <w:spacing w:val="24"/>
      <w:sz w:val="20"/>
      <w:szCs w:val="20"/>
    </w:rPr>
  </w:style>
  <w:style w:type="paragraph" w:customStyle="1" w:styleId="ElsKeyword">
    <w:name w:val="Els_Keyword"/>
    <w:rsid w:val="0022359C"/>
    <w:pPr>
      <w:spacing w:after="0" w:line="200" w:lineRule="exact"/>
    </w:pPr>
    <w:rPr>
      <w:rFonts w:ascii="Times New Roman" w:eastAsia="Times New Roman" w:hAnsi="Times New Roman" w:cs="Times New Roman"/>
      <w:sz w:val="16"/>
      <w:szCs w:val="20"/>
    </w:rPr>
  </w:style>
  <w:style w:type="paragraph" w:customStyle="1" w:styleId="ElsKeywordHead">
    <w:name w:val="Els_KeywordHead"/>
    <w:next w:val="ElsKeyword"/>
    <w:rsid w:val="0022359C"/>
    <w:pPr>
      <w:spacing w:after="0" w:line="200" w:lineRule="exact"/>
    </w:pPr>
    <w:rPr>
      <w:rFonts w:ascii="Times New Roman" w:eastAsia="Times New Roman" w:hAnsi="Times New Roman" w:cs="Times New Roman"/>
      <w:i/>
      <w:noProof/>
      <w:sz w:val="16"/>
      <w:szCs w:val="20"/>
    </w:rPr>
  </w:style>
  <w:style w:type="paragraph" w:customStyle="1" w:styleId="ElsParagraph">
    <w:name w:val="Els_Paragraph"/>
    <w:rsid w:val="0022359C"/>
    <w:pPr>
      <w:spacing w:after="120" w:line="220" w:lineRule="exact"/>
      <w:ind w:firstLine="230"/>
      <w:jc w:val="both"/>
    </w:pPr>
    <w:rPr>
      <w:rFonts w:ascii="Times New Roman" w:eastAsia="Times New Roman" w:hAnsi="Times New Roman" w:cs="Times New Roman"/>
      <w:sz w:val="19"/>
      <w:szCs w:val="20"/>
    </w:rPr>
  </w:style>
  <w:style w:type="paragraph" w:customStyle="1" w:styleId="Body0">
    <w:name w:val="Body 0"/>
    <w:basedOn w:val="Normal"/>
    <w:rsid w:val="00352C76"/>
    <w:pPr>
      <w:spacing w:after="0" w:line="360" w:lineRule="atLeast"/>
      <w:jc w:val="both"/>
    </w:pPr>
    <w:rPr>
      <w:rFonts w:ascii="Palatino" w:eastAsia="Times New Roman" w:hAnsi="Palatino" w:cs="Times New Roman"/>
      <w:sz w:val="24"/>
      <w:szCs w:val="24"/>
    </w:rPr>
  </w:style>
  <w:style w:type="paragraph" w:customStyle="1" w:styleId="ElsHeading1">
    <w:name w:val="Els_Heading1"/>
    <w:next w:val="ElsParagraph"/>
    <w:rsid w:val="00BF433C"/>
    <w:pPr>
      <w:keepNext/>
      <w:spacing w:before="160" w:after="160" w:line="210" w:lineRule="exact"/>
    </w:pPr>
    <w:rPr>
      <w:rFonts w:ascii="Times New Roman" w:eastAsia="Times New Roman" w:hAnsi="Times New Roman" w:cs="Times New Roman"/>
      <w:b/>
      <w:bCs/>
      <w:sz w:val="19"/>
      <w:szCs w:val="20"/>
    </w:rPr>
  </w:style>
  <w:style w:type="character" w:customStyle="1" w:styleId="Heading2Char">
    <w:name w:val="Heading 2 Char"/>
    <w:basedOn w:val="DefaultParagraphFont"/>
    <w:link w:val="Heading2"/>
    <w:rsid w:val="00881BE3"/>
    <w:rPr>
      <w:rFonts w:ascii="Cambria" w:eastAsia="Times New Roman" w:hAnsi="Cambria" w:cs="Times New Roman"/>
      <w:b/>
      <w:bCs/>
      <w:i/>
      <w:iCs/>
      <w:sz w:val="28"/>
      <w:szCs w:val="28"/>
    </w:rPr>
  </w:style>
  <w:style w:type="paragraph" w:customStyle="1" w:styleId="Text">
    <w:name w:val="Text"/>
    <w:basedOn w:val="Normal"/>
    <w:rsid w:val="00881BE3"/>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character" w:customStyle="1" w:styleId="UnresolvedMention1">
    <w:name w:val="Unresolved Mention1"/>
    <w:basedOn w:val="DefaultParagraphFont"/>
    <w:uiPriority w:val="99"/>
    <w:semiHidden/>
    <w:unhideWhenUsed/>
    <w:rsid w:val="007F74D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pPr>
      <w:spacing w:after="0" w:line="240" w:lineRule="auto"/>
    </w:pPr>
    <w:rPr>
      <w:color w:val="000000"/>
    </w:rPr>
    <w:tblPr>
      <w:tblStyleRowBandSize w:val="1"/>
      <w:tblStyleColBandSize w:val="1"/>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431708"/>
    <w:rPr>
      <w:color w:val="605E5C"/>
      <w:shd w:val="clear" w:color="auto" w:fill="E1DFDD"/>
    </w:rPr>
  </w:style>
  <w:style w:type="character" w:styleId="FollowedHyperlink">
    <w:name w:val="FollowedHyperlink"/>
    <w:basedOn w:val="DefaultParagraphFont"/>
    <w:uiPriority w:val="99"/>
    <w:semiHidden/>
    <w:unhideWhenUsed/>
    <w:rsid w:val="00901A32"/>
    <w:rPr>
      <w:color w:val="800080" w:themeColor="followedHyperlink"/>
      <w:u w:val="single"/>
    </w:rPr>
  </w:style>
  <w:style w:type="paragraph" w:styleId="Bibliography">
    <w:name w:val="Bibliography"/>
    <w:basedOn w:val="Normal"/>
    <w:next w:val="Normal"/>
    <w:uiPriority w:val="37"/>
    <w:unhideWhenUsed/>
    <w:rsid w:val="000F3AC0"/>
  </w:style>
  <w:style w:type="character" w:styleId="UnresolvedMention">
    <w:name w:val="Unresolved Mention"/>
    <w:basedOn w:val="DefaultParagraphFont"/>
    <w:uiPriority w:val="99"/>
    <w:semiHidden/>
    <w:unhideWhenUsed/>
    <w:rsid w:val="00B61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81218">
      <w:bodyDiv w:val="1"/>
      <w:marLeft w:val="0"/>
      <w:marRight w:val="0"/>
      <w:marTop w:val="0"/>
      <w:marBottom w:val="0"/>
      <w:divBdr>
        <w:top w:val="none" w:sz="0" w:space="0" w:color="auto"/>
        <w:left w:val="none" w:sz="0" w:space="0" w:color="auto"/>
        <w:bottom w:val="none" w:sz="0" w:space="0" w:color="auto"/>
        <w:right w:val="none" w:sz="0" w:space="0" w:color="auto"/>
      </w:divBdr>
      <w:divsChild>
        <w:div w:id="254637211">
          <w:marLeft w:val="480"/>
          <w:marRight w:val="0"/>
          <w:marTop w:val="0"/>
          <w:marBottom w:val="0"/>
          <w:divBdr>
            <w:top w:val="none" w:sz="0" w:space="0" w:color="auto"/>
            <w:left w:val="none" w:sz="0" w:space="0" w:color="auto"/>
            <w:bottom w:val="none" w:sz="0" w:space="0" w:color="auto"/>
            <w:right w:val="none" w:sz="0" w:space="0" w:color="auto"/>
          </w:divBdr>
          <w:divsChild>
            <w:div w:id="75636978">
              <w:marLeft w:val="0"/>
              <w:marRight w:val="0"/>
              <w:marTop w:val="0"/>
              <w:marBottom w:val="0"/>
              <w:divBdr>
                <w:top w:val="none" w:sz="0" w:space="0" w:color="auto"/>
                <w:left w:val="none" w:sz="0" w:space="0" w:color="auto"/>
                <w:bottom w:val="none" w:sz="0" w:space="0" w:color="auto"/>
                <w:right w:val="none" w:sz="0" w:space="0" w:color="auto"/>
              </w:divBdr>
            </w:div>
            <w:div w:id="2100441560">
              <w:marLeft w:val="0"/>
              <w:marRight w:val="0"/>
              <w:marTop w:val="0"/>
              <w:marBottom w:val="0"/>
              <w:divBdr>
                <w:top w:val="none" w:sz="0" w:space="0" w:color="auto"/>
                <w:left w:val="none" w:sz="0" w:space="0" w:color="auto"/>
                <w:bottom w:val="none" w:sz="0" w:space="0" w:color="auto"/>
                <w:right w:val="none" w:sz="0" w:space="0" w:color="auto"/>
              </w:divBdr>
            </w:div>
            <w:div w:id="842623795">
              <w:marLeft w:val="0"/>
              <w:marRight w:val="0"/>
              <w:marTop w:val="0"/>
              <w:marBottom w:val="0"/>
              <w:divBdr>
                <w:top w:val="none" w:sz="0" w:space="0" w:color="auto"/>
                <w:left w:val="none" w:sz="0" w:space="0" w:color="auto"/>
                <w:bottom w:val="none" w:sz="0" w:space="0" w:color="auto"/>
                <w:right w:val="none" w:sz="0" w:space="0" w:color="auto"/>
              </w:divBdr>
            </w:div>
            <w:div w:id="770323034">
              <w:marLeft w:val="0"/>
              <w:marRight w:val="0"/>
              <w:marTop w:val="0"/>
              <w:marBottom w:val="0"/>
              <w:divBdr>
                <w:top w:val="none" w:sz="0" w:space="0" w:color="auto"/>
                <w:left w:val="none" w:sz="0" w:space="0" w:color="auto"/>
                <w:bottom w:val="none" w:sz="0" w:space="0" w:color="auto"/>
                <w:right w:val="none" w:sz="0" w:space="0" w:color="auto"/>
              </w:divBdr>
            </w:div>
            <w:div w:id="985743353">
              <w:marLeft w:val="0"/>
              <w:marRight w:val="0"/>
              <w:marTop w:val="0"/>
              <w:marBottom w:val="0"/>
              <w:divBdr>
                <w:top w:val="none" w:sz="0" w:space="0" w:color="auto"/>
                <w:left w:val="none" w:sz="0" w:space="0" w:color="auto"/>
                <w:bottom w:val="none" w:sz="0" w:space="0" w:color="auto"/>
                <w:right w:val="none" w:sz="0" w:space="0" w:color="auto"/>
              </w:divBdr>
            </w:div>
            <w:div w:id="133218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4664">
      <w:bodyDiv w:val="1"/>
      <w:marLeft w:val="0"/>
      <w:marRight w:val="0"/>
      <w:marTop w:val="0"/>
      <w:marBottom w:val="0"/>
      <w:divBdr>
        <w:top w:val="none" w:sz="0" w:space="0" w:color="auto"/>
        <w:left w:val="none" w:sz="0" w:space="0" w:color="auto"/>
        <w:bottom w:val="none" w:sz="0" w:space="0" w:color="auto"/>
        <w:right w:val="none" w:sz="0" w:space="0" w:color="auto"/>
      </w:divBdr>
      <w:divsChild>
        <w:div w:id="1740053136">
          <w:marLeft w:val="480"/>
          <w:marRight w:val="0"/>
          <w:marTop w:val="0"/>
          <w:marBottom w:val="0"/>
          <w:divBdr>
            <w:top w:val="none" w:sz="0" w:space="0" w:color="auto"/>
            <w:left w:val="none" w:sz="0" w:space="0" w:color="auto"/>
            <w:bottom w:val="none" w:sz="0" w:space="0" w:color="auto"/>
            <w:right w:val="none" w:sz="0" w:space="0" w:color="auto"/>
          </w:divBdr>
          <w:divsChild>
            <w:div w:id="28242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17549">
      <w:bodyDiv w:val="1"/>
      <w:marLeft w:val="0"/>
      <w:marRight w:val="0"/>
      <w:marTop w:val="0"/>
      <w:marBottom w:val="0"/>
      <w:divBdr>
        <w:top w:val="none" w:sz="0" w:space="0" w:color="auto"/>
        <w:left w:val="none" w:sz="0" w:space="0" w:color="auto"/>
        <w:bottom w:val="none" w:sz="0" w:space="0" w:color="auto"/>
        <w:right w:val="none" w:sz="0" w:space="0" w:color="auto"/>
      </w:divBdr>
    </w:div>
    <w:div w:id="716244461">
      <w:bodyDiv w:val="1"/>
      <w:marLeft w:val="0"/>
      <w:marRight w:val="0"/>
      <w:marTop w:val="0"/>
      <w:marBottom w:val="0"/>
      <w:divBdr>
        <w:top w:val="none" w:sz="0" w:space="0" w:color="auto"/>
        <w:left w:val="none" w:sz="0" w:space="0" w:color="auto"/>
        <w:bottom w:val="none" w:sz="0" w:space="0" w:color="auto"/>
        <w:right w:val="none" w:sz="0" w:space="0" w:color="auto"/>
      </w:divBdr>
    </w:div>
    <w:div w:id="756173496">
      <w:bodyDiv w:val="1"/>
      <w:marLeft w:val="0"/>
      <w:marRight w:val="0"/>
      <w:marTop w:val="0"/>
      <w:marBottom w:val="0"/>
      <w:divBdr>
        <w:top w:val="none" w:sz="0" w:space="0" w:color="auto"/>
        <w:left w:val="none" w:sz="0" w:space="0" w:color="auto"/>
        <w:bottom w:val="none" w:sz="0" w:space="0" w:color="auto"/>
        <w:right w:val="none" w:sz="0" w:space="0" w:color="auto"/>
      </w:divBdr>
    </w:div>
    <w:div w:id="866135519">
      <w:bodyDiv w:val="1"/>
      <w:marLeft w:val="0"/>
      <w:marRight w:val="0"/>
      <w:marTop w:val="0"/>
      <w:marBottom w:val="0"/>
      <w:divBdr>
        <w:top w:val="none" w:sz="0" w:space="0" w:color="auto"/>
        <w:left w:val="none" w:sz="0" w:space="0" w:color="auto"/>
        <w:bottom w:val="none" w:sz="0" w:space="0" w:color="auto"/>
        <w:right w:val="none" w:sz="0" w:space="0" w:color="auto"/>
      </w:divBdr>
      <w:divsChild>
        <w:div w:id="1316446740">
          <w:marLeft w:val="480"/>
          <w:marRight w:val="0"/>
          <w:marTop w:val="0"/>
          <w:marBottom w:val="0"/>
          <w:divBdr>
            <w:top w:val="none" w:sz="0" w:space="0" w:color="auto"/>
            <w:left w:val="none" w:sz="0" w:space="0" w:color="auto"/>
            <w:bottom w:val="none" w:sz="0" w:space="0" w:color="auto"/>
            <w:right w:val="none" w:sz="0" w:space="0" w:color="auto"/>
          </w:divBdr>
          <w:divsChild>
            <w:div w:id="12176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6577">
      <w:bodyDiv w:val="1"/>
      <w:marLeft w:val="0"/>
      <w:marRight w:val="0"/>
      <w:marTop w:val="0"/>
      <w:marBottom w:val="0"/>
      <w:divBdr>
        <w:top w:val="none" w:sz="0" w:space="0" w:color="auto"/>
        <w:left w:val="none" w:sz="0" w:space="0" w:color="auto"/>
        <w:bottom w:val="none" w:sz="0" w:space="0" w:color="auto"/>
        <w:right w:val="none" w:sz="0" w:space="0" w:color="auto"/>
      </w:divBdr>
      <w:divsChild>
        <w:div w:id="336737665">
          <w:marLeft w:val="480"/>
          <w:marRight w:val="0"/>
          <w:marTop w:val="0"/>
          <w:marBottom w:val="0"/>
          <w:divBdr>
            <w:top w:val="none" w:sz="0" w:space="0" w:color="auto"/>
            <w:left w:val="none" w:sz="0" w:space="0" w:color="auto"/>
            <w:bottom w:val="none" w:sz="0" w:space="0" w:color="auto"/>
            <w:right w:val="none" w:sz="0" w:space="0" w:color="auto"/>
          </w:divBdr>
          <w:divsChild>
            <w:div w:id="8110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82168">
      <w:bodyDiv w:val="1"/>
      <w:marLeft w:val="0"/>
      <w:marRight w:val="0"/>
      <w:marTop w:val="0"/>
      <w:marBottom w:val="0"/>
      <w:divBdr>
        <w:top w:val="none" w:sz="0" w:space="0" w:color="auto"/>
        <w:left w:val="none" w:sz="0" w:space="0" w:color="auto"/>
        <w:bottom w:val="none" w:sz="0" w:space="0" w:color="auto"/>
        <w:right w:val="none" w:sz="0" w:space="0" w:color="auto"/>
      </w:divBdr>
      <w:divsChild>
        <w:div w:id="191505172">
          <w:marLeft w:val="480"/>
          <w:marRight w:val="0"/>
          <w:marTop w:val="0"/>
          <w:marBottom w:val="0"/>
          <w:divBdr>
            <w:top w:val="none" w:sz="0" w:space="0" w:color="auto"/>
            <w:left w:val="none" w:sz="0" w:space="0" w:color="auto"/>
            <w:bottom w:val="none" w:sz="0" w:space="0" w:color="auto"/>
            <w:right w:val="none" w:sz="0" w:space="0" w:color="auto"/>
          </w:divBdr>
          <w:divsChild>
            <w:div w:id="160460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1193">
      <w:bodyDiv w:val="1"/>
      <w:marLeft w:val="0"/>
      <w:marRight w:val="0"/>
      <w:marTop w:val="0"/>
      <w:marBottom w:val="0"/>
      <w:divBdr>
        <w:top w:val="none" w:sz="0" w:space="0" w:color="auto"/>
        <w:left w:val="none" w:sz="0" w:space="0" w:color="auto"/>
        <w:bottom w:val="none" w:sz="0" w:space="0" w:color="auto"/>
        <w:right w:val="none" w:sz="0" w:space="0" w:color="auto"/>
      </w:divBdr>
      <w:divsChild>
        <w:div w:id="1156187878">
          <w:marLeft w:val="480"/>
          <w:marRight w:val="0"/>
          <w:marTop w:val="0"/>
          <w:marBottom w:val="0"/>
          <w:divBdr>
            <w:top w:val="none" w:sz="0" w:space="0" w:color="auto"/>
            <w:left w:val="none" w:sz="0" w:space="0" w:color="auto"/>
            <w:bottom w:val="none" w:sz="0" w:space="0" w:color="auto"/>
            <w:right w:val="none" w:sz="0" w:space="0" w:color="auto"/>
          </w:divBdr>
          <w:divsChild>
            <w:div w:id="13045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409">
      <w:bodyDiv w:val="1"/>
      <w:marLeft w:val="0"/>
      <w:marRight w:val="0"/>
      <w:marTop w:val="0"/>
      <w:marBottom w:val="0"/>
      <w:divBdr>
        <w:top w:val="none" w:sz="0" w:space="0" w:color="auto"/>
        <w:left w:val="none" w:sz="0" w:space="0" w:color="auto"/>
        <w:bottom w:val="none" w:sz="0" w:space="0" w:color="auto"/>
        <w:right w:val="none" w:sz="0" w:space="0" w:color="auto"/>
      </w:divBdr>
      <w:divsChild>
        <w:div w:id="2095861210">
          <w:marLeft w:val="480"/>
          <w:marRight w:val="0"/>
          <w:marTop w:val="0"/>
          <w:marBottom w:val="0"/>
          <w:divBdr>
            <w:top w:val="none" w:sz="0" w:space="0" w:color="auto"/>
            <w:left w:val="none" w:sz="0" w:space="0" w:color="auto"/>
            <w:bottom w:val="none" w:sz="0" w:space="0" w:color="auto"/>
            <w:right w:val="none" w:sz="0" w:space="0" w:color="auto"/>
          </w:divBdr>
          <w:divsChild>
            <w:div w:id="1868368680">
              <w:marLeft w:val="0"/>
              <w:marRight w:val="0"/>
              <w:marTop w:val="0"/>
              <w:marBottom w:val="0"/>
              <w:divBdr>
                <w:top w:val="none" w:sz="0" w:space="0" w:color="auto"/>
                <w:left w:val="none" w:sz="0" w:space="0" w:color="auto"/>
                <w:bottom w:val="none" w:sz="0" w:space="0" w:color="auto"/>
                <w:right w:val="none" w:sz="0" w:space="0" w:color="auto"/>
              </w:divBdr>
            </w:div>
            <w:div w:id="202443284">
              <w:marLeft w:val="0"/>
              <w:marRight w:val="0"/>
              <w:marTop w:val="0"/>
              <w:marBottom w:val="0"/>
              <w:divBdr>
                <w:top w:val="none" w:sz="0" w:space="0" w:color="auto"/>
                <w:left w:val="none" w:sz="0" w:space="0" w:color="auto"/>
                <w:bottom w:val="none" w:sz="0" w:space="0" w:color="auto"/>
                <w:right w:val="none" w:sz="0" w:space="0" w:color="auto"/>
              </w:divBdr>
            </w:div>
            <w:div w:id="943457540">
              <w:marLeft w:val="0"/>
              <w:marRight w:val="0"/>
              <w:marTop w:val="0"/>
              <w:marBottom w:val="0"/>
              <w:divBdr>
                <w:top w:val="none" w:sz="0" w:space="0" w:color="auto"/>
                <w:left w:val="none" w:sz="0" w:space="0" w:color="auto"/>
                <w:bottom w:val="none" w:sz="0" w:space="0" w:color="auto"/>
                <w:right w:val="none" w:sz="0" w:space="0" w:color="auto"/>
              </w:divBdr>
            </w:div>
            <w:div w:id="1995572000">
              <w:marLeft w:val="0"/>
              <w:marRight w:val="0"/>
              <w:marTop w:val="0"/>
              <w:marBottom w:val="0"/>
              <w:divBdr>
                <w:top w:val="none" w:sz="0" w:space="0" w:color="auto"/>
                <w:left w:val="none" w:sz="0" w:space="0" w:color="auto"/>
                <w:bottom w:val="none" w:sz="0" w:space="0" w:color="auto"/>
                <w:right w:val="none" w:sz="0" w:space="0" w:color="auto"/>
              </w:divBdr>
            </w:div>
            <w:div w:id="1619945203">
              <w:marLeft w:val="0"/>
              <w:marRight w:val="0"/>
              <w:marTop w:val="0"/>
              <w:marBottom w:val="0"/>
              <w:divBdr>
                <w:top w:val="none" w:sz="0" w:space="0" w:color="auto"/>
                <w:left w:val="none" w:sz="0" w:space="0" w:color="auto"/>
                <w:bottom w:val="none" w:sz="0" w:space="0" w:color="auto"/>
                <w:right w:val="none" w:sz="0" w:space="0" w:color="auto"/>
              </w:divBdr>
            </w:div>
            <w:div w:id="8225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0766">
      <w:bodyDiv w:val="1"/>
      <w:marLeft w:val="0"/>
      <w:marRight w:val="0"/>
      <w:marTop w:val="0"/>
      <w:marBottom w:val="0"/>
      <w:divBdr>
        <w:top w:val="none" w:sz="0" w:space="0" w:color="auto"/>
        <w:left w:val="none" w:sz="0" w:space="0" w:color="auto"/>
        <w:bottom w:val="none" w:sz="0" w:space="0" w:color="auto"/>
        <w:right w:val="none" w:sz="0" w:space="0" w:color="auto"/>
      </w:divBdr>
      <w:divsChild>
        <w:div w:id="1378966667">
          <w:marLeft w:val="480"/>
          <w:marRight w:val="0"/>
          <w:marTop w:val="0"/>
          <w:marBottom w:val="0"/>
          <w:divBdr>
            <w:top w:val="none" w:sz="0" w:space="0" w:color="auto"/>
            <w:left w:val="none" w:sz="0" w:space="0" w:color="auto"/>
            <w:bottom w:val="none" w:sz="0" w:space="0" w:color="auto"/>
            <w:right w:val="none" w:sz="0" w:space="0" w:color="auto"/>
          </w:divBdr>
          <w:divsChild>
            <w:div w:id="188602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2537">
      <w:bodyDiv w:val="1"/>
      <w:marLeft w:val="0"/>
      <w:marRight w:val="0"/>
      <w:marTop w:val="0"/>
      <w:marBottom w:val="0"/>
      <w:divBdr>
        <w:top w:val="none" w:sz="0" w:space="0" w:color="auto"/>
        <w:left w:val="none" w:sz="0" w:space="0" w:color="auto"/>
        <w:bottom w:val="none" w:sz="0" w:space="0" w:color="auto"/>
        <w:right w:val="none" w:sz="0" w:space="0" w:color="auto"/>
      </w:divBdr>
      <w:divsChild>
        <w:div w:id="147946784">
          <w:marLeft w:val="480"/>
          <w:marRight w:val="0"/>
          <w:marTop w:val="0"/>
          <w:marBottom w:val="0"/>
          <w:divBdr>
            <w:top w:val="none" w:sz="0" w:space="0" w:color="auto"/>
            <w:left w:val="none" w:sz="0" w:space="0" w:color="auto"/>
            <w:bottom w:val="none" w:sz="0" w:space="0" w:color="auto"/>
            <w:right w:val="none" w:sz="0" w:space="0" w:color="auto"/>
          </w:divBdr>
          <w:divsChild>
            <w:div w:id="20212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04371">
      <w:bodyDiv w:val="1"/>
      <w:marLeft w:val="0"/>
      <w:marRight w:val="0"/>
      <w:marTop w:val="0"/>
      <w:marBottom w:val="0"/>
      <w:divBdr>
        <w:top w:val="none" w:sz="0" w:space="0" w:color="auto"/>
        <w:left w:val="none" w:sz="0" w:space="0" w:color="auto"/>
        <w:bottom w:val="none" w:sz="0" w:space="0" w:color="auto"/>
        <w:right w:val="none" w:sz="0" w:space="0" w:color="auto"/>
      </w:divBdr>
      <w:divsChild>
        <w:div w:id="1056009363">
          <w:marLeft w:val="480"/>
          <w:marRight w:val="0"/>
          <w:marTop w:val="0"/>
          <w:marBottom w:val="0"/>
          <w:divBdr>
            <w:top w:val="none" w:sz="0" w:space="0" w:color="auto"/>
            <w:left w:val="none" w:sz="0" w:space="0" w:color="auto"/>
            <w:bottom w:val="none" w:sz="0" w:space="0" w:color="auto"/>
            <w:right w:val="none" w:sz="0" w:space="0" w:color="auto"/>
          </w:divBdr>
          <w:divsChild>
            <w:div w:id="20050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4652">
      <w:bodyDiv w:val="1"/>
      <w:marLeft w:val="0"/>
      <w:marRight w:val="0"/>
      <w:marTop w:val="0"/>
      <w:marBottom w:val="0"/>
      <w:divBdr>
        <w:top w:val="none" w:sz="0" w:space="0" w:color="auto"/>
        <w:left w:val="none" w:sz="0" w:space="0" w:color="auto"/>
        <w:bottom w:val="none" w:sz="0" w:space="0" w:color="auto"/>
        <w:right w:val="none" w:sz="0" w:space="0" w:color="auto"/>
      </w:divBdr>
      <w:divsChild>
        <w:div w:id="1552184347">
          <w:marLeft w:val="480"/>
          <w:marRight w:val="0"/>
          <w:marTop w:val="0"/>
          <w:marBottom w:val="0"/>
          <w:divBdr>
            <w:top w:val="none" w:sz="0" w:space="0" w:color="auto"/>
            <w:left w:val="none" w:sz="0" w:space="0" w:color="auto"/>
            <w:bottom w:val="none" w:sz="0" w:space="0" w:color="auto"/>
            <w:right w:val="none" w:sz="0" w:space="0" w:color="auto"/>
          </w:divBdr>
          <w:divsChild>
            <w:div w:id="19002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09716">
      <w:bodyDiv w:val="1"/>
      <w:marLeft w:val="0"/>
      <w:marRight w:val="0"/>
      <w:marTop w:val="0"/>
      <w:marBottom w:val="0"/>
      <w:divBdr>
        <w:top w:val="none" w:sz="0" w:space="0" w:color="auto"/>
        <w:left w:val="none" w:sz="0" w:space="0" w:color="auto"/>
        <w:bottom w:val="none" w:sz="0" w:space="0" w:color="auto"/>
        <w:right w:val="none" w:sz="0" w:space="0" w:color="auto"/>
      </w:divBdr>
      <w:divsChild>
        <w:div w:id="792947262">
          <w:marLeft w:val="480"/>
          <w:marRight w:val="0"/>
          <w:marTop w:val="0"/>
          <w:marBottom w:val="0"/>
          <w:divBdr>
            <w:top w:val="none" w:sz="0" w:space="0" w:color="auto"/>
            <w:left w:val="none" w:sz="0" w:space="0" w:color="auto"/>
            <w:bottom w:val="none" w:sz="0" w:space="0" w:color="auto"/>
            <w:right w:val="none" w:sz="0" w:space="0" w:color="auto"/>
          </w:divBdr>
          <w:divsChild>
            <w:div w:id="115541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177/0148558x2096290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08/jfra-07-2022-024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randy@wym.ac.i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akurasi.unram.ac.id/index.php/akurasi" TargetMode="External"/><Relationship Id="rId2" Type="http://schemas.openxmlformats.org/officeDocument/2006/relationships/hyperlink" Target="https://portal.issn.org/resource/ISSN/2685-1059" TargetMode="External"/><Relationship Id="rId1" Type="http://schemas.openxmlformats.org/officeDocument/2006/relationships/hyperlink" Target="https://portal.issn.org/resource/ISSN/2720-9067"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akurasi.unram.ac.id/index.php/akurasi" TargetMode="External"/><Relationship Id="rId2" Type="http://schemas.openxmlformats.org/officeDocument/2006/relationships/hyperlink" Target="https://portal.issn.org/resource/ISSN/2685-1059" TargetMode="External"/><Relationship Id="rId1" Type="http://schemas.openxmlformats.org/officeDocument/2006/relationships/hyperlink" Target="https://portal.issn.org/resource/ISSN/2720-9067"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doi.org/10.29303/akurasi.v8i1.701" TargetMode="External"/><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f4M2LnhGzZ0kxqEEA85tepB+eg==">CgMxLjA4AHIhMUJHOVJpUVA4MjB4alFPSE43b2R2UWJnOUd3OGF0Nlhr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08792B-D9A6-4777-96D6-29205298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14564</Words>
  <Characters>88261</Characters>
  <Application>Microsoft Office Word</Application>
  <DocSecurity>0</DocSecurity>
  <Lines>1877</Lines>
  <Paragraphs>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iwan setiawan</dc:creator>
  <cp:lastModifiedBy>prabu13</cp:lastModifiedBy>
  <cp:revision>12</cp:revision>
  <dcterms:created xsi:type="dcterms:W3CDTF">2025-06-16T16:58:00Z</dcterms:created>
  <dcterms:modified xsi:type="dcterms:W3CDTF">2025-12-27T23:36:00Z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id="bBwhO6sn"/&gt;&lt;style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