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47"/>
        <w:tblW w:w="9071" w:type="dxa"/>
        <w:tblInd w:w="-108" w:type="dxa"/>
        <w:tblBorders>
          <w:top w:val="single" w:sz="24" w:space="0" w:color="000000"/>
          <w:bottom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9071"/>
      </w:tblGrid>
      <w:tr w:rsidR="00B77FDA" w14:paraId="545DC2E2" w14:textId="77777777" w:rsidTr="00675AEF">
        <w:trPr>
          <w:trHeight w:val="1346"/>
        </w:trPr>
        <w:tc>
          <w:tcPr>
            <w:tcW w:w="9071" w:type="dxa"/>
          </w:tcPr>
          <w:p w14:paraId="022158F1" w14:textId="77777777" w:rsidR="00B77FDA" w:rsidRDefault="00B77FDA" w:rsidP="00675AEF">
            <w:pPr>
              <w:spacing w:before="240" w:after="24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D8CBA57" wp14:editId="3AD56868">
                  <wp:extent cx="5669280" cy="7128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9"/>
                          <a:srcRect/>
                          <a:stretch>
                            <a:fillRect/>
                          </a:stretch>
                        </pic:blipFill>
                        <pic:spPr>
                          <a:xfrm>
                            <a:off x="0" y="0"/>
                            <a:ext cx="5744054" cy="722240"/>
                          </a:xfrm>
                          <a:prstGeom prst="rect">
                            <a:avLst/>
                          </a:prstGeom>
                        </pic:spPr>
                      </pic:pic>
                    </a:graphicData>
                  </a:graphic>
                </wp:inline>
              </w:drawing>
            </w:r>
          </w:p>
        </w:tc>
      </w:tr>
    </w:tbl>
    <w:p w14:paraId="2C0A2DD3" w14:textId="77777777" w:rsidR="00B77FDA" w:rsidRDefault="00B77FDA" w:rsidP="00B77FDA">
      <w:pPr>
        <w:spacing w:after="0" w:line="240" w:lineRule="auto"/>
        <w:jc w:val="center"/>
        <w:rPr>
          <w:rFonts w:ascii="Times New Roman" w:hAnsi="Times New Roman" w:cs="Times New Roman"/>
          <w:b/>
          <w:sz w:val="24"/>
          <w:szCs w:val="24"/>
        </w:rPr>
      </w:pPr>
    </w:p>
    <w:p w14:paraId="376BDC11" w14:textId="56CB8E48" w:rsidR="00487A9E" w:rsidRPr="0099292E" w:rsidRDefault="004D02FA">
      <w:pPr>
        <w:spacing w:after="0" w:line="240" w:lineRule="auto"/>
        <w:jc w:val="center"/>
        <w:rPr>
          <w:rFonts w:ascii="Times New Roman" w:eastAsia="Times New Roman" w:hAnsi="Times New Roman" w:cs="Times New Roman"/>
          <w:b/>
          <w:sz w:val="28"/>
          <w:szCs w:val="28"/>
        </w:rPr>
      </w:pPr>
      <w:r w:rsidRPr="0099292E">
        <w:rPr>
          <w:rFonts w:ascii="Times New Roman" w:eastAsia="Times New Roman" w:hAnsi="Times New Roman" w:cs="Times New Roman"/>
          <w:b/>
          <w:sz w:val="28"/>
          <w:szCs w:val="28"/>
        </w:rPr>
        <w:t xml:space="preserve">ENVIRONMENTAL, SOCIAL, AND GOVERNANCE PILLARS </w:t>
      </w:r>
      <w:r w:rsidR="00D6529F">
        <w:rPr>
          <w:rFonts w:ascii="Times New Roman" w:eastAsia="Times New Roman" w:hAnsi="Times New Roman" w:cs="Times New Roman"/>
          <w:b/>
          <w:sz w:val="28"/>
          <w:szCs w:val="28"/>
          <w:lang w:val="id-ID"/>
        </w:rPr>
        <w:t xml:space="preserve">              </w:t>
      </w:r>
      <w:r w:rsidRPr="0099292E">
        <w:rPr>
          <w:rFonts w:ascii="Times New Roman" w:eastAsia="Times New Roman" w:hAnsi="Times New Roman" w:cs="Times New Roman"/>
          <w:b/>
          <w:sz w:val="28"/>
          <w:szCs w:val="28"/>
        </w:rPr>
        <w:t xml:space="preserve">AND TAX AVOIDANCE: A FUTURE RESEARCH AGENDA </w:t>
      </w:r>
      <w:r w:rsidR="00D6529F">
        <w:rPr>
          <w:rFonts w:ascii="Times New Roman" w:eastAsia="Times New Roman" w:hAnsi="Times New Roman" w:cs="Times New Roman"/>
          <w:b/>
          <w:sz w:val="28"/>
          <w:szCs w:val="28"/>
          <w:lang w:val="id-ID"/>
        </w:rPr>
        <w:t xml:space="preserve">                     </w:t>
      </w:r>
      <w:r w:rsidRPr="0099292E">
        <w:rPr>
          <w:rFonts w:ascii="Times New Roman" w:eastAsia="Times New Roman" w:hAnsi="Times New Roman" w:cs="Times New Roman"/>
          <w:b/>
          <w:sz w:val="28"/>
          <w:szCs w:val="28"/>
        </w:rPr>
        <w:t>IN INDONESIA</w:t>
      </w:r>
    </w:p>
    <w:p w14:paraId="6EE84844" w14:textId="77777777" w:rsidR="004D02FA" w:rsidRPr="0099292E" w:rsidRDefault="004D02FA">
      <w:pPr>
        <w:spacing w:after="0" w:line="240" w:lineRule="auto"/>
        <w:jc w:val="center"/>
        <w:rPr>
          <w:sz w:val="24"/>
          <w:szCs w:val="24"/>
        </w:rPr>
      </w:pPr>
    </w:p>
    <w:p w14:paraId="4E1B4854" w14:textId="1D5D4093" w:rsidR="00133893" w:rsidRPr="0099292E" w:rsidRDefault="00361DD1">
      <w:pPr>
        <w:spacing w:after="0" w:line="240" w:lineRule="auto"/>
        <w:rPr>
          <w:rFonts w:ascii="Times New Roman" w:eastAsia="Times New Roman" w:hAnsi="Times New Roman" w:cs="Times New Roman"/>
          <w:b/>
          <w:sz w:val="24"/>
          <w:szCs w:val="24"/>
        </w:rPr>
      </w:pPr>
      <w:r w:rsidRPr="0099292E">
        <w:rPr>
          <w:rFonts w:ascii="Times New Roman" w:eastAsia="Times New Roman" w:hAnsi="Times New Roman" w:cs="Times New Roman"/>
          <w:b/>
          <w:sz w:val="24"/>
          <w:szCs w:val="24"/>
        </w:rPr>
        <w:t>Alfian Andrianto</w:t>
      </w:r>
      <w:r w:rsidRPr="0099292E">
        <w:rPr>
          <w:rFonts w:ascii="Times New Roman" w:eastAsia="Times New Roman" w:hAnsi="Times New Roman" w:cs="Times New Roman"/>
          <w:b/>
          <w:sz w:val="24"/>
          <w:szCs w:val="24"/>
          <w:vertAlign w:val="superscript"/>
        </w:rPr>
        <w:t>1</w:t>
      </w:r>
      <w:r w:rsidRPr="0099292E">
        <w:rPr>
          <w:rFonts w:ascii="Times New Roman" w:eastAsia="Times New Roman" w:hAnsi="Times New Roman" w:cs="Times New Roman"/>
          <w:b/>
          <w:sz w:val="24"/>
          <w:szCs w:val="24"/>
        </w:rPr>
        <w:t xml:space="preserve">, </w:t>
      </w:r>
      <w:r w:rsidR="001A7E13" w:rsidRPr="0099292E">
        <w:rPr>
          <w:rFonts w:ascii="Times New Roman" w:hAnsi="Times New Roman" w:cs="Times New Roman"/>
          <w:b/>
          <w:bCs/>
          <w:sz w:val="24"/>
          <w:szCs w:val="24"/>
        </w:rPr>
        <w:t>Eko Arief Sudaryono</w:t>
      </w:r>
      <w:r w:rsidR="001A7E13" w:rsidRPr="0099292E">
        <w:rPr>
          <w:rFonts w:ascii="Times New Roman" w:eastAsia="Times New Roman" w:hAnsi="Times New Roman" w:cs="Times New Roman"/>
          <w:b/>
          <w:sz w:val="24"/>
          <w:szCs w:val="24"/>
          <w:vertAlign w:val="superscript"/>
        </w:rPr>
        <w:t>2</w:t>
      </w:r>
      <w:r w:rsidR="001A7E13">
        <w:rPr>
          <w:rFonts w:ascii="Times New Roman" w:hAnsi="Times New Roman" w:cs="Times New Roman"/>
          <w:b/>
          <w:bCs/>
          <w:sz w:val="24"/>
          <w:szCs w:val="24"/>
        </w:rPr>
        <w:t xml:space="preserve">, </w:t>
      </w:r>
      <w:r w:rsidR="00855207">
        <w:rPr>
          <w:rFonts w:ascii="Times New Roman" w:eastAsia="Times New Roman" w:hAnsi="Times New Roman" w:cs="Times New Roman"/>
          <w:b/>
          <w:sz w:val="24"/>
          <w:szCs w:val="24"/>
        </w:rPr>
        <w:t>Y Anni Aryani</w:t>
      </w:r>
      <w:r w:rsidR="00CC1D5B">
        <w:rPr>
          <w:rFonts w:ascii="Times New Roman" w:eastAsia="Times New Roman" w:hAnsi="Times New Roman" w:cs="Times New Roman"/>
          <w:b/>
          <w:sz w:val="24"/>
          <w:szCs w:val="24"/>
          <w:vertAlign w:val="superscript"/>
        </w:rPr>
        <w:t>3</w:t>
      </w:r>
      <w:r w:rsidRPr="0099292E">
        <w:rPr>
          <w:rFonts w:ascii="Times New Roman" w:eastAsia="Times New Roman" w:hAnsi="Times New Roman" w:cs="Times New Roman"/>
          <w:b/>
          <w:sz w:val="24"/>
          <w:szCs w:val="24"/>
        </w:rPr>
        <w:t xml:space="preserve">, </w:t>
      </w:r>
      <w:r w:rsidR="00855207">
        <w:rPr>
          <w:rFonts w:ascii="Times New Roman" w:hAnsi="Times New Roman" w:cs="Times New Roman"/>
          <w:b/>
          <w:bCs/>
          <w:sz w:val="24"/>
          <w:szCs w:val="24"/>
        </w:rPr>
        <w:t>Doddy Setiawan</w:t>
      </w:r>
      <w:r w:rsidR="00CC1D5B">
        <w:rPr>
          <w:rFonts w:ascii="Times New Roman" w:eastAsia="Times New Roman" w:hAnsi="Times New Roman" w:cs="Times New Roman"/>
          <w:b/>
          <w:sz w:val="24"/>
          <w:szCs w:val="24"/>
          <w:vertAlign w:val="superscript"/>
        </w:rPr>
        <w:t>4</w:t>
      </w:r>
      <w:r w:rsidR="004D02FA" w:rsidRPr="0099292E">
        <w:rPr>
          <w:rFonts w:ascii="Times New Roman" w:eastAsia="Times New Roman" w:hAnsi="Times New Roman" w:cs="Times New Roman"/>
          <w:b/>
          <w:sz w:val="24"/>
          <w:szCs w:val="24"/>
        </w:rPr>
        <w:t xml:space="preserve">, </w:t>
      </w:r>
    </w:p>
    <w:p w14:paraId="441C3722" w14:textId="575D27FA" w:rsidR="00487A9E" w:rsidRPr="0099292E" w:rsidRDefault="00D37E84" w:rsidP="00487A9E">
      <w:pPr>
        <w:spacing w:after="0" w:line="240" w:lineRule="auto"/>
        <w:rPr>
          <w:rFonts w:ascii="Times New Roman" w:eastAsia="Times New Roman" w:hAnsi="Times New Roman" w:cs="Times New Roman"/>
          <w:i/>
          <w:sz w:val="20"/>
          <w:szCs w:val="20"/>
          <w:vertAlign w:val="superscript"/>
        </w:rPr>
      </w:pPr>
      <w:r>
        <w:rPr>
          <w:rFonts w:ascii="Times New Roman" w:eastAsia="Times New Roman" w:hAnsi="Times New Roman" w:cs="Times New Roman"/>
          <w:i/>
          <w:sz w:val="20"/>
          <w:szCs w:val="20"/>
        </w:rPr>
        <w:t xml:space="preserve">Fakultas Ekonomi dan Bisnis, </w:t>
      </w:r>
      <w:r w:rsidR="00487A9E" w:rsidRPr="0099292E">
        <w:rPr>
          <w:rFonts w:ascii="Times New Roman" w:eastAsia="Times New Roman" w:hAnsi="Times New Roman" w:cs="Times New Roman"/>
          <w:i/>
          <w:sz w:val="20"/>
          <w:szCs w:val="20"/>
        </w:rPr>
        <w:t>Universitas Sebelas Maret</w:t>
      </w:r>
      <w:r w:rsidR="00540CB5" w:rsidRPr="0099292E">
        <w:rPr>
          <w:rFonts w:ascii="Times New Roman" w:eastAsia="Times New Roman" w:hAnsi="Times New Roman" w:cs="Times New Roman"/>
          <w:i/>
          <w:sz w:val="20"/>
          <w:szCs w:val="20"/>
          <w:vertAlign w:val="superscript"/>
        </w:rPr>
        <w:t>1</w:t>
      </w:r>
      <w:r w:rsidR="00B77FDA">
        <w:rPr>
          <w:rFonts w:ascii="Times New Roman" w:eastAsia="Times New Roman" w:hAnsi="Times New Roman" w:cs="Times New Roman"/>
          <w:i/>
          <w:sz w:val="20"/>
          <w:szCs w:val="20"/>
          <w:vertAlign w:val="superscript"/>
        </w:rPr>
        <w:t>2</w:t>
      </w:r>
      <w:r w:rsidR="00CC1D5B">
        <w:rPr>
          <w:rFonts w:ascii="Times New Roman" w:eastAsia="Times New Roman" w:hAnsi="Times New Roman" w:cs="Times New Roman"/>
          <w:i/>
          <w:sz w:val="20"/>
          <w:szCs w:val="20"/>
          <w:vertAlign w:val="superscript"/>
        </w:rPr>
        <w:t>34</w:t>
      </w:r>
    </w:p>
    <w:p w14:paraId="693290BD" w14:textId="07EAE8F1" w:rsidR="00133893" w:rsidRDefault="003F681C" w:rsidP="00487A9E">
      <w:pPr>
        <w:spacing w:after="0" w:line="240" w:lineRule="auto"/>
        <w:rPr>
          <w:rFonts w:ascii="Times New Roman" w:eastAsia="Times New Roman" w:hAnsi="Times New Roman" w:cs="Times New Roman"/>
          <w:sz w:val="20"/>
          <w:szCs w:val="20"/>
        </w:rPr>
      </w:pPr>
      <w:r w:rsidRPr="0099292E">
        <w:rPr>
          <w:rFonts w:ascii="Times New Roman" w:eastAsia="Times New Roman" w:hAnsi="Times New Roman" w:cs="Times New Roman"/>
          <w:i/>
          <w:sz w:val="20"/>
          <w:szCs w:val="20"/>
          <w:vertAlign w:val="superscript"/>
        </w:rPr>
        <w:t>1</w:t>
      </w:r>
      <w:r w:rsidRPr="0099292E">
        <w:rPr>
          <w:rFonts w:ascii="Times New Roman" w:eastAsia="Times New Roman" w:hAnsi="Times New Roman" w:cs="Times New Roman"/>
          <w:sz w:val="20"/>
          <w:szCs w:val="20"/>
        </w:rPr>
        <w:t xml:space="preserve">Corresponding author: </w:t>
      </w:r>
      <w:hyperlink r:id="rId10" w:history="1">
        <w:r w:rsidR="00B77FDA" w:rsidRPr="00D866D1">
          <w:rPr>
            <w:rStyle w:val="Hyperlink"/>
            <w:rFonts w:ascii="Times New Roman" w:eastAsia="Times New Roman" w:hAnsi="Times New Roman" w:cs="Times New Roman"/>
            <w:sz w:val="20"/>
            <w:szCs w:val="20"/>
          </w:rPr>
          <w:t>alfian.andrianto@gmail.com</w:t>
        </w:r>
      </w:hyperlink>
    </w:p>
    <w:tbl>
      <w:tblPr>
        <w:tblStyle w:val="4"/>
        <w:tblpPr w:leftFromText="187" w:rightFromText="187" w:bottomFromText="187" w:vertAnchor="text" w:tblpXSpec="center" w:tblpY="1"/>
        <w:tblW w:w="9284"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948"/>
        <w:gridCol w:w="6336"/>
      </w:tblGrid>
      <w:tr w:rsidR="0094761C" w14:paraId="519DB324" w14:textId="77777777" w:rsidTr="00EF42DC">
        <w:trPr>
          <w:trHeight w:val="397"/>
        </w:trPr>
        <w:tc>
          <w:tcPr>
            <w:tcW w:w="2948" w:type="dxa"/>
            <w:vAlign w:val="center"/>
          </w:tcPr>
          <w:p w14:paraId="61337BC3" w14:textId="77777777" w:rsidR="0094761C" w:rsidRDefault="0094761C" w:rsidP="0094761C">
            <w:pPr>
              <w:pBdr>
                <w:top w:val="nil"/>
                <w:left w:val="nil"/>
                <w:bottom w:val="nil"/>
                <w:right w:val="nil"/>
                <w:between w:val="nil"/>
              </w:pBdr>
              <w:spacing w:after="0" w:line="240" w:lineRule="auto"/>
              <w:rPr>
                <w:rFonts w:ascii="Times New Roman" w:eastAsia="Times New Roman" w:hAnsi="Times New Roman" w:cs="Times New Roman"/>
                <w:b/>
                <w:smallCaps/>
                <w:color w:val="000000"/>
                <w:sz w:val="18"/>
                <w:szCs w:val="18"/>
              </w:rPr>
            </w:pPr>
            <w:r>
              <w:rPr>
                <w:rFonts w:ascii="Times New Roman" w:eastAsia="Times New Roman" w:hAnsi="Times New Roman" w:cs="Times New Roman"/>
                <w:b/>
                <w:smallCaps/>
                <w:color w:val="000000"/>
                <w:sz w:val="18"/>
                <w:szCs w:val="18"/>
              </w:rPr>
              <w:t>INFORMASI ARTIKEL</w:t>
            </w:r>
          </w:p>
        </w:tc>
        <w:tc>
          <w:tcPr>
            <w:tcW w:w="6336" w:type="dxa"/>
            <w:tcMar>
              <w:left w:w="240" w:type="dxa"/>
            </w:tcMar>
            <w:vAlign w:val="center"/>
          </w:tcPr>
          <w:p w14:paraId="0F1FCA39" w14:textId="77777777" w:rsidR="0094761C" w:rsidRDefault="0094761C" w:rsidP="0094761C">
            <w:pPr>
              <w:pBdr>
                <w:top w:val="nil"/>
                <w:left w:val="nil"/>
                <w:bottom w:val="nil"/>
                <w:right w:val="nil"/>
                <w:between w:val="nil"/>
              </w:pBdr>
              <w:spacing w:after="0" w:line="240" w:lineRule="auto"/>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18"/>
                <w:szCs w:val="18"/>
              </w:rPr>
              <w:t>ABSTRAK</w:t>
            </w:r>
          </w:p>
        </w:tc>
      </w:tr>
      <w:tr w:rsidR="0094761C" w14:paraId="367A44D6" w14:textId="77777777" w:rsidTr="00EF42DC">
        <w:trPr>
          <w:cantSplit/>
          <w:trHeight w:val="794"/>
        </w:trPr>
        <w:tc>
          <w:tcPr>
            <w:tcW w:w="2948" w:type="dxa"/>
            <w:tcBorders>
              <w:bottom w:val="nil"/>
            </w:tcBorders>
            <w:tcMar>
              <w:top w:w="72" w:type="dxa"/>
            </w:tcMar>
          </w:tcPr>
          <w:p w14:paraId="29EE3C07" w14:textId="77777777" w:rsidR="0094761C" w:rsidRDefault="0094761C" w:rsidP="0094761C">
            <w:pPr>
              <w:widowControl w:val="0"/>
              <w:spacing w:after="0"/>
              <w:rPr>
                <w:rFonts w:ascii="Times New Roman" w:eastAsia="Times" w:hAnsi="Times New Roman" w:cs="Times New Roman"/>
                <w:i/>
                <w:color w:val="000000"/>
                <w:sz w:val="20"/>
                <w:szCs w:val="20"/>
              </w:rPr>
            </w:pPr>
            <w:r>
              <w:rPr>
                <w:rFonts w:ascii="Times New Roman" w:eastAsia="Times" w:hAnsi="Times New Roman" w:cs="Times New Roman"/>
                <w:i/>
                <w:color w:val="000000"/>
                <w:sz w:val="20"/>
                <w:szCs w:val="20"/>
              </w:rPr>
              <w:t>Article history:</w:t>
            </w:r>
          </w:p>
          <w:p w14:paraId="497CE05A" w14:textId="77777777" w:rsidR="0094761C" w:rsidRPr="00C0731B" w:rsidRDefault="0094761C" w:rsidP="0094761C">
            <w:pPr>
              <w:widowControl w:val="0"/>
              <w:spacing w:after="0"/>
              <w:rPr>
                <w:rFonts w:ascii="Times" w:eastAsia="Times" w:hAnsi="Times" w:cs="Times"/>
                <w:i/>
                <w:color w:val="000000"/>
                <w:sz w:val="18"/>
                <w:szCs w:val="18"/>
                <w:lang w:val="id-ID"/>
              </w:rPr>
            </w:pPr>
            <w:r>
              <w:rPr>
                <w:rFonts w:ascii="Times" w:eastAsia="Times" w:hAnsi="Times" w:cs="Times"/>
                <w:i/>
                <w:color w:val="000000"/>
                <w:sz w:val="18"/>
                <w:szCs w:val="18"/>
              </w:rPr>
              <w:t>Dikirim tanggal:</w:t>
            </w:r>
            <w:r>
              <w:rPr>
                <w:rFonts w:ascii="Times" w:eastAsia="Times" w:hAnsi="Times" w:cs="Times"/>
                <w:i/>
                <w:color w:val="000000"/>
                <w:sz w:val="18"/>
                <w:szCs w:val="18"/>
                <w:lang w:val="id-ID"/>
              </w:rPr>
              <w:t>28/06/2025</w:t>
            </w:r>
          </w:p>
          <w:p w14:paraId="56B7C67E" w14:textId="77777777" w:rsidR="0094761C" w:rsidRPr="00C0731B" w:rsidRDefault="0094761C" w:rsidP="0094761C">
            <w:pPr>
              <w:widowControl w:val="0"/>
              <w:spacing w:after="0"/>
              <w:rPr>
                <w:rFonts w:ascii="Times" w:eastAsia="Times" w:hAnsi="Times" w:cs="Times"/>
                <w:i/>
                <w:color w:val="000000"/>
                <w:sz w:val="18"/>
                <w:szCs w:val="18"/>
                <w:lang w:val="id-ID"/>
              </w:rPr>
            </w:pPr>
            <w:r>
              <w:rPr>
                <w:rFonts w:ascii="Times" w:eastAsia="Times" w:hAnsi="Times" w:cs="Times"/>
                <w:i/>
                <w:color w:val="000000"/>
                <w:sz w:val="18"/>
                <w:szCs w:val="18"/>
              </w:rPr>
              <w:t xml:space="preserve">Revisi pertama tanggal: </w:t>
            </w:r>
            <w:r>
              <w:rPr>
                <w:rFonts w:ascii="Times" w:eastAsia="Times" w:hAnsi="Times" w:cs="Times"/>
                <w:i/>
                <w:color w:val="000000"/>
                <w:sz w:val="18"/>
                <w:szCs w:val="18"/>
                <w:lang w:val="id-ID"/>
              </w:rPr>
              <w:t>28/09/2025</w:t>
            </w:r>
          </w:p>
          <w:p w14:paraId="6346BBE5" w14:textId="77777777" w:rsidR="0094761C" w:rsidRPr="00C0731B" w:rsidRDefault="0094761C" w:rsidP="0094761C">
            <w:pPr>
              <w:widowControl w:val="0"/>
              <w:spacing w:after="0"/>
              <w:rPr>
                <w:rFonts w:ascii="Times" w:eastAsia="Times" w:hAnsi="Times" w:cs="Times"/>
                <w:i/>
                <w:color w:val="000000"/>
                <w:sz w:val="18"/>
                <w:szCs w:val="18"/>
                <w:lang w:val="id-ID"/>
              </w:rPr>
            </w:pPr>
            <w:r>
              <w:rPr>
                <w:rFonts w:ascii="Times" w:eastAsia="Times" w:hAnsi="Times" w:cs="Times"/>
                <w:i/>
                <w:color w:val="000000"/>
                <w:sz w:val="18"/>
                <w:szCs w:val="18"/>
              </w:rPr>
              <w:t xml:space="preserve">Diterima tanggal: </w:t>
            </w:r>
            <w:r>
              <w:rPr>
                <w:rFonts w:ascii="Times" w:eastAsia="Times" w:hAnsi="Times" w:cs="Times"/>
                <w:i/>
                <w:color w:val="000000"/>
                <w:sz w:val="18"/>
                <w:szCs w:val="18"/>
                <w:lang w:val="id-ID"/>
              </w:rPr>
              <w:t>18/10/2025</w:t>
            </w:r>
          </w:p>
          <w:p w14:paraId="09EDE3D9" w14:textId="2BA31E27" w:rsidR="0094761C" w:rsidRPr="00D66ADF" w:rsidRDefault="0094761C" w:rsidP="0094761C">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lang w:val="id-ID"/>
              </w:rPr>
            </w:pPr>
            <w:r w:rsidRPr="0099292E">
              <w:rPr>
                <w:rFonts w:ascii="Times" w:eastAsia="Times" w:hAnsi="Times" w:cs="Times"/>
                <w:i/>
                <w:color w:val="000000"/>
                <w:sz w:val="18"/>
                <w:szCs w:val="18"/>
              </w:rPr>
              <w:t>Te</w:t>
            </w:r>
            <w:r>
              <w:rPr>
                <w:rFonts w:ascii="Times" w:eastAsia="Times" w:hAnsi="Times" w:cs="Times"/>
                <w:i/>
                <w:color w:val="000000"/>
                <w:sz w:val="18"/>
                <w:szCs w:val="18"/>
              </w:rPr>
              <w:t>rsedia online tanggal</w:t>
            </w:r>
            <w:r>
              <w:rPr>
                <w:rFonts w:ascii="Times" w:eastAsia="Times" w:hAnsi="Times" w:cs="Times"/>
                <w:i/>
                <w:color w:val="000000"/>
                <w:sz w:val="18"/>
                <w:szCs w:val="18"/>
                <w:lang w:val="id-ID"/>
              </w:rPr>
              <w:t>: 23/12/2025</w:t>
            </w:r>
          </w:p>
        </w:tc>
        <w:tc>
          <w:tcPr>
            <w:tcW w:w="6336" w:type="dxa"/>
            <w:tcMar>
              <w:left w:w="240" w:type="dxa"/>
            </w:tcMar>
          </w:tcPr>
          <w:p w14:paraId="4B845B86" w14:textId="77777777" w:rsidR="0094761C" w:rsidRDefault="0094761C" w:rsidP="0094761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id-ID"/>
              </w:rPr>
            </w:pPr>
            <w:r w:rsidRPr="00124EDB">
              <w:rPr>
                <w:rFonts w:ascii="Times New Roman" w:eastAsia="Times New Roman" w:hAnsi="Times New Roman" w:cs="Times New Roman"/>
                <w:color w:val="000000"/>
                <w:sz w:val="20"/>
                <w:szCs w:val="20"/>
                <w:lang w:val="id-ID"/>
              </w:rPr>
              <w:t xml:space="preserve">Pajak merupakan sumber utama penerimaan negara, namun penghindaran pajak masih menjadi tantangan. Penerapan </w:t>
            </w:r>
            <w:r w:rsidRPr="0099292E">
              <w:rPr>
                <w:rFonts w:ascii="Times New Roman" w:eastAsia="Times New Roman" w:hAnsi="Times New Roman" w:cs="Times New Roman"/>
                <w:i/>
                <w:iCs/>
                <w:color w:val="000000"/>
                <w:sz w:val="20"/>
                <w:szCs w:val="20"/>
                <w:lang w:val="id-ID"/>
              </w:rPr>
              <w:t xml:space="preserve"> Environmental, Social, dan Governance</w:t>
            </w:r>
            <w:r w:rsidRPr="0099292E">
              <w:rPr>
                <w:rFonts w:ascii="Times New Roman" w:eastAsia="Times New Roman" w:hAnsi="Times New Roman" w:cs="Times New Roman"/>
                <w:color w:val="000000"/>
                <w:sz w:val="20"/>
                <w:szCs w:val="20"/>
                <w:lang w:val="id-ID"/>
              </w:rPr>
              <w:t xml:space="preserve"> </w:t>
            </w:r>
            <w:r>
              <w:rPr>
                <w:rFonts w:ascii="Times New Roman" w:eastAsia="Times New Roman" w:hAnsi="Times New Roman" w:cs="Times New Roman"/>
                <w:color w:val="000000"/>
                <w:sz w:val="20"/>
                <w:szCs w:val="20"/>
                <w:lang w:val="id-ID"/>
              </w:rPr>
              <w:t>(</w:t>
            </w:r>
            <w:r w:rsidRPr="00124EDB">
              <w:rPr>
                <w:rFonts w:ascii="Times New Roman" w:eastAsia="Times New Roman" w:hAnsi="Times New Roman" w:cs="Times New Roman"/>
                <w:color w:val="000000"/>
                <w:sz w:val="20"/>
                <w:szCs w:val="20"/>
                <w:lang w:val="id-ID"/>
              </w:rPr>
              <w:t>ESG</w:t>
            </w:r>
            <w:r>
              <w:rPr>
                <w:rFonts w:ascii="Times New Roman" w:eastAsia="Times New Roman" w:hAnsi="Times New Roman" w:cs="Times New Roman"/>
                <w:color w:val="000000"/>
                <w:sz w:val="20"/>
                <w:szCs w:val="20"/>
                <w:lang w:val="id-ID"/>
              </w:rPr>
              <w:t>)</w:t>
            </w:r>
            <w:r w:rsidRPr="00124EDB">
              <w:rPr>
                <w:rFonts w:ascii="Times New Roman" w:eastAsia="Times New Roman" w:hAnsi="Times New Roman" w:cs="Times New Roman"/>
                <w:color w:val="000000"/>
                <w:sz w:val="20"/>
                <w:szCs w:val="20"/>
                <w:lang w:val="id-ID"/>
              </w:rPr>
              <w:t xml:space="preserve"> semakin diperhatikan untuk meningkatkan transparansi perusahaan, tetapi hubungan ESG dan penghindaran pajak di Indonesia belum dipetakan secara sistematis. Penelitian ini menggunakan Systematic Literature Review </w:t>
            </w:r>
            <w:r>
              <w:rPr>
                <w:rFonts w:ascii="Times New Roman" w:eastAsia="Times New Roman" w:hAnsi="Times New Roman" w:cs="Times New Roman"/>
                <w:color w:val="000000"/>
                <w:sz w:val="20"/>
                <w:szCs w:val="20"/>
                <w:lang w:val="id-ID"/>
              </w:rPr>
              <w:t xml:space="preserve">(SLR) </w:t>
            </w:r>
            <w:r w:rsidRPr="00124EDB">
              <w:rPr>
                <w:rFonts w:ascii="Times New Roman" w:eastAsia="Times New Roman" w:hAnsi="Times New Roman" w:cs="Times New Roman"/>
                <w:color w:val="000000"/>
                <w:sz w:val="20"/>
                <w:szCs w:val="20"/>
                <w:lang w:val="id-ID"/>
              </w:rPr>
              <w:t xml:space="preserve">terhadap 66 artikel jurnal Sinta 1 dan 2 periode 2015–2025 dengan kerangka PICO dan pendekatan </w:t>
            </w:r>
            <w:r w:rsidRPr="00124EDB">
              <w:rPr>
                <w:rFonts w:ascii="Times New Roman" w:eastAsia="Times New Roman" w:hAnsi="Times New Roman" w:cs="Times New Roman"/>
                <w:i/>
                <w:color w:val="000000"/>
                <w:sz w:val="20"/>
                <w:szCs w:val="20"/>
                <w:lang w:val="id-ID"/>
              </w:rPr>
              <w:t>charting the field</w:t>
            </w:r>
            <w:r w:rsidRPr="00124EDB">
              <w:rPr>
                <w:rFonts w:ascii="Times New Roman" w:eastAsia="Times New Roman" w:hAnsi="Times New Roman" w:cs="Times New Roman"/>
                <w:color w:val="000000"/>
                <w:sz w:val="20"/>
                <w:szCs w:val="20"/>
                <w:lang w:val="id-ID"/>
              </w:rPr>
              <w:t xml:space="preserve">. Hasil menunjukkan dominasi pilar Governance, terutama institutional ownership, audit committee, dan independent commissioner, sementara pilar Social dan Environmental masih terbatas. Effective Tax Rate (ETR) merupakan proksi penghindaran pajak yang paling umum. Studi ini merekomendasikan diversifikasi indikator ESG, </w:t>
            </w:r>
            <w:r>
              <w:rPr>
                <w:rFonts w:ascii="Times New Roman" w:eastAsia="Times New Roman" w:hAnsi="Times New Roman" w:cs="Times New Roman"/>
                <w:color w:val="000000"/>
                <w:sz w:val="20"/>
                <w:szCs w:val="20"/>
                <w:lang w:val="id-ID"/>
              </w:rPr>
              <w:t xml:space="preserve">pengembangan </w:t>
            </w:r>
            <w:r w:rsidRPr="00124EDB">
              <w:rPr>
                <w:rFonts w:ascii="Times New Roman" w:eastAsia="Times New Roman" w:hAnsi="Times New Roman" w:cs="Times New Roman"/>
                <w:color w:val="000000"/>
                <w:sz w:val="20"/>
                <w:szCs w:val="20"/>
                <w:lang w:val="id-ID"/>
              </w:rPr>
              <w:t xml:space="preserve">pengukuran penghindaran pajak, serta pengembangan metodologi </w:t>
            </w:r>
            <w:r>
              <w:rPr>
                <w:rFonts w:ascii="Times New Roman" w:eastAsia="Times New Roman" w:hAnsi="Times New Roman" w:cs="Times New Roman"/>
                <w:color w:val="000000"/>
                <w:sz w:val="20"/>
                <w:szCs w:val="20"/>
                <w:lang w:val="id-ID"/>
              </w:rPr>
              <w:t xml:space="preserve">yang lebih variatif.  </w:t>
            </w:r>
            <w:r>
              <w:t xml:space="preserve"> </w:t>
            </w:r>
            <w:r w:rsidRPr="00124EDB">
              <w:rPr>
                <w:rFonts w:ascii="Times New Roman" w:eastAsia="Times New Roman" w:hAnsi="Times New Roman" w:cs="Times New Roman"/>
                <w:color w:val="000000"/>
                <w:sz w:val="20"/>
                <w:szCs w:val="20"/>
                <w:lang w:val="id-ID"/>
              </w:rPr>
              <w:t>Kontribusi penelitian ini adalah menyediakan pemetaan komprehensif serta agenda riset untuk menutup celah konseptual dan metodologis.</w:t>
            </w:r>
          </w:p>
          <w:p w14:paraId="7D4AB7CE" w14:textId="17302871" w:rsidR="0094761C" w:rsidRPr="00072667" w:rsidRDefault="0094761C" w:rsidP="0094761C">
            <w:pPr>
              <w:tabs>
                <w:tab w:val="left" w:pos="1036"/>
              </w:tabs>
              <w:spacing w:before="240" w:after="120" w:line="240" w:lineRule="auto"/>
              <w:ind w:left="1038" w:hanging="1038"/>
              <w:jc w:val="both"/>
              <w:rPr>
                <w:rFonts w:ascii="Times New Roman" w:hAnsi="Times New Roman" w:cs="Times New Roman"/>
                <w:sz w:val="20"/>
                <w:szCs w:val="20"/>
                <w:lang w:eastAsia="zh-CN"/>
              </w:rPr>
            </w:pPr>
            <w:r w:rsidRPr="0099292E">
              <w:rPr>
                <w:rFonts w:ascii="Times New Roman" w:eastAsia="Times New Roman" w:hAnsi="Times New Roman" w:cs="Times New Roman"/>
                <w:color w:val="000000"/>
                <w:sz w:val="20"/>
                <w:szCs w:val="20"/>
                <w:lang w:val="id-ID"/>
              </w:rPr>
              <w:t>Kata kunci:</w:t>
            </w:r>
            <w:r w:rsidRPr="0099292E">
              <w:rPr>
                <w:rFonts w:ascii="Times New Roman" w:eastAsia="Times New Roman" w:hAnsi="Times New Roman" w:cs="Times New Roman"/>
                <w:i/>
                <w:iCs/>
                <w:color w:val="000000"/>
                <w:sz w:val="20"/>
                <w:szCs w:val="20"/>
                <w:lang w:val="id-ID"/>
              </w:rPr>
              <w:t xml:space="preserve"> </w:t>
            </w:r>
            <w:r w:rsidR="00B222E7">
              <w:rPr>
                <w:rFonts w:ascii="Times New Roman" w:eastAsia="Times New Roman" w:hAnsi="Times New Roman" w:cs="Times New Roman"/>
                <w:color w:val="000000"/>
                <w:sz w:val="20"/>
                <w:szCs w:val="20"/>
                <w:lang w:val="id-ID"/>
              </w:rPr>
              <w:t>ESG, p</w:t>
            </w:r>
            <w:r w:rsidRPr="0099292E">
              <w:rPr>
                <w:rFonts w:ascii="Times New Roman" w:eastAsia="Times New Roman" w:hAnsi="Times New Roman" w:cs="Times New Roman"/>
                <w:color w:val="000000"/>
                <w:sz w:val="20"/>
                <w:szCs w:val="20"/>
                <w:lang w:val="id-ID"/>
              </w:rPr>
              <w:t xml:space="preserve">enghindaran </w:t>
            </w:r>
            <w:r w:rsidR="00B222E7" w:rsidRPr="00B222E7">
              <w:rPr>
                <w:rFonts w:ascii="Times New Roman" w:eastAsia="Times New Roman" w:hAnsi="Times New Roman" w:cs="Times New Roman"/>
                <w:iCs/>
                <w:color w:val="000000"/>
                <w:sz w:val="20"/>
                <w:szCs w:val="20"/>
                <w:lang w:val="id-ID"/>
              </w:rPr>
              <w:t>p</w:t>
            </w:r>
            <w:r w:rsidRPr="00B222E7">
              <w:rPr>
                <w:rFonts w:ascii="Times New Roman" w:eastAsia="Times New Roman" w:hAnsi="Times New Roman" w:cs="Times New Roman"/>
                <w:iCs/>
                <w:color w:val="000000"/>
                <w:sz w:val="20"/>
                <w:szCs w:val="20"/>
                <w:lang w:val="id-ID"/>
              </w:rPr>
              <w:t>ajak</w:t>
            </w:r>
            <w:r w:rsidRPr="0099292E">
              <w:rPr>
                <w:rFonts w:ascii="Times New Roman" w:eastAsia="Times New Roman" w:hAnsi="Times New Roman" w:cs="Times New Roman"/>
                <w:i/>
                <w:iCs/>
                <w:color w:val="000000"/>
                <w:sz w:val="20"/>
                <w:szCs w:val="20"/>
                <w:lang w:val="id-ID"/>
              </w:rPr>
              <w:t>, Systematic Literature Review</w:t>
            </w:r>
          </w:p>
        </w:tc>
      </w:tr>
      <w:tr w:rsidR="0094761C" w14:paraId="05CA246B" w14:textId="77777777" w:rsidTr="00EF42DC">
        <w:trPr>
          <w:cantSplit/>
          <w:trHeight w:val="397"/>
        </w:trPr>
        <w:tc>
          <w:tcPr>
            <w:tcW w:w="2948" w:type="dxa"/>
            <w:tcBorders>
              <w:top w:val="nil"/>
              <w:bottom w:val="nil"/>
            </w:tcBorders>
            <w:tcMar>
              <w:top w:w="72" w:type="dxa"/>
            </w:tcMar>
            <w:vAlign w:val="center"/>
          </w:tcPr>
          <w:p w14:paraId="0BAF87E8" w14:textId="77777777" w:rsidR="0094761C" w:rsidRDefault="0094761C" w:rsidP="0094761C">
            <w:pPr>
              <w:widowControl w:val="0"/>
              <w:spacing w:after="0" w:line="240" w:lineRule="auto"/>
              <w:rPr>
                <w:rFonts w:ascii="Times" w:eastAsia="Times" w:hAnsi="Times" w:cs="Times"/>
                <w:i/>
                <w:color w:val="000000"/>
                <w:sz w:val="18"/>
                <w:szCs w:val="18"/>
              </w:rPr>
            </w:pPr>
          </w:p>
        </w:tc>
        <w:tc>
          <w:tcPr>
            <w:tcW w:w="6336" w:type="dxa"/>
            <w:tcMar>
              <w:left w:w="240" w:type="dxa"/>
            </w:tcMar>
            <w:vAlign w:val="center"/>
          </w:tcPr>
          <w:p w14:paraId="67FD91AA" w14:textId="77777777" w:rsidR="0094761C" w:rsidRPr="0076654A" w:rsidRDefault="0094761C" w:rsidP="0094761C">
            <w:pPr>
              <w:pBdr>
                <w:top w:val="nil"/>
                <w:left w:val="nil"/>
                <w:bottom w:val="nil"/>
                <w:right w:val="nil"/>
                <w:between w:val="nil"/>
              </w:pBdr>
              <w:spacing w:after="0" w:line="240" w:lineRule="auto"/>
              <w:rPr>
                <w:rFonts w:ascii="Times New Roman" w:hAnsi="Times New Roman" w:cs="Times New Roman"/>
                <w:sz w:val="18"/>
                <w:szCs w:val="18"/>
              </w:rPr>
            </w:pPr>
            <w:r>
              <w:rPr>
                <w:rFonts w:ascii="Times New Roman" w:eastAsia="Times New Roman" w:hAnsi="Times New Roman" w:cs="Times New Roman"/>
                <w:b/>
                <w:smallCaps/>
                <w:color w:val="000000"/>
                <w:sz w:val="18"/>
                <w:szCs w:val="18"/>
              </w:rPr>
              <w:t>ABSTRACT</w:t>
            </w:r>
          </w:p>
        </w:tc>
      </w:tr>
      <w:tr w:rsidR="0094761C" w14:paraId="01BDCBEF" w14:textId="77777777" w:rsidTr="00EF42DC">
        <w:trPr>
          <w:cantSplit/>
          <w:trHeight w:val="794"/>
        </w:trPr>
        <w:tc>
          <w:tcPr>
            <w:tcW w:w="2948" w:type="dxa"/>
            <w:tcBorders>
              <w:top w:val="nil"/>
            </w:tcBorders>
            <w:tcMar>
              <w:top w:w="72" w:type="dxa"/>
            </w:tcMar>
          </w:tcPr>
          <w:p w14:paraId="36E3C170" w14:textId="77777777" w:rsidR="0094761C" w:rsidRDefault="0094761C" w:rsidP="0094761C">
            <w:pPr>
              <w:widowControl w:val="0"/>
              <w:spacing w:after="0"/>
              <w:rPr>
                <w:rFonts w:ascii="Times" w:eastAsia="Times" w:hAnsi="Times" w:cs="Times"/>
                <w:i/>
                <w:color w:val="000000"/>
                <w:sz w:val="18"/>
                <w:szCs w:val="18"/>
              </w:rPr>
            </w:pPr>
          </w:p>
        </w:tc>
        <w:tc>
          <w:tcPr>
            <w:tcW w:w="6336" w:type="dxa"/>
            <w:tcBorders>
              <w:bottom w:val="single" w:sz="4" w:space="0" w:color="000000"/>
            </w:tcBorders>
            <w:tcMar>
              <w:left w:w="240" w:type="dxa"/>
            </w:tcMar>
          </w:tcPr>
          <w:p w14:paraId="2D1D5273" w14:textId="77777777" w:rsidR="0094761C" w:rsidRDefault="0094761C" w:rsidP="0094761C">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0"/>
                <w:szCs w:val="20"/>
                <w:lang w:val="id-ID"/>
              </w:rPr>
            </w:pPr>
            <w:r w:rsidRPr="0099292E">
              <w:rPr>
                <w:rFonts w:ascii="Times New Roman" w:eastAsia="Times New Roman" w:hAnsi="Times New Roman" w:cs="Times New Roman"/>
                <w:i/>
                <w:iCs/>
                <w:color w:val="000000"/>
                <w:sz w:val="20"/>
                <w:szCs w:val="20"/>
              </w:rPr>
              <w:t xml:space="preserve">Taxes are </w:t>
            </w:r>
            <w:r>
              <w:rPr>
                <w:rFonts w:ascii="Times New Roman" w:eastAsia="Times New Roman" w:hAnsi="Times New Roman" w:cs="Times New Roman"/>
                <w:i/>
                <w:iCs/>
                <w:color w:val="000000"/>
                <w:sz w:val="20"/>
                <w:szCs w:val="20"/>
              </w:rPr>
              <w:t>Indonesia's</w:t>
            </w:r>
            <w:r w:rsidRPr="0099292E">
              <w:rPr>
                <w:rFonts w:ascii="Times New Roman" w:eastAsia="Times New Roman" w:hAnsi="Times New Roman" w:cs="Times New Roman"/>
                <w:i/>
                <w:iCs/>
                <w:color w:val="000000"/>
                <w:sz w:val="20"/>
                <w:szCs w:val="20"/>
              </w:rPr>
              <w:t xml:space="preserve"> main source of state revenue, yet tax avoidance remains a persistent challenge. At the same time, Environmental, Social, and Governance (ESG) practices are increasingly recognized as mechanisms to improve corporate transparency and accountability. However, the relationship between ESG pillars and tax avoidance in Indonesia has not been systematically reviewed. This study aims to map prior evidence and propose a future research agenda. A Systematic Literature Review (SLR) of 66 articles published in Sinta-1 and Sinta-2 accredited journals during 2015–2025 was conducted using the PICO framework and a charting the field approach. The findings show that the Governance pillar dominates (87.6% of proxies), with institutional ownership, audit committees, and independent commissioners as the most common variables. The Social and Environmental pillars remain underexplored, while the Effective Tax Rate (ETR) is the most widely used tax avoidance measure. This study recommends diversifying ESG indicators, broadening tax avoidance measures, and employing varied methodologies. Its contribution lies in providing a comprehensive mapping and </w:t>
            </w:r>
            <w:r>
              <w:rPr>
                <w:rFonts w:ascii="Times New Roman" w:eastAsia="Times New Roman" w:hAnsi="Times New Roman" w:cs="Times New Roman"/>
                <w:i/>
                <w:iCs/>
                <w:color w:val="000000"/>
                <w:sz w:val="20"/>
                <w:szCs w:val="20"/>
              </w:rPr>
              <w:t xml:space="preserve">a </w:t>
            </w:r>
            <w:r w:rsidRPr="0099292E">
              <w:rPr>
                <w:rFonts w:ascii="Times New Roman" w:eastAsia="Times New Roman" w:hAnsi="Times New Roman" w:cs="Times New Roman"/>
                <w:i/>
                <w:iCs/>
                <w:color w:val="000000"/>
                <w:sz w:val="20"/>
                <w:szCs w:val="20"/>
              </w:rPr>
              <w:t>concrete agenda to close conceptual and methodological gaps.</w:t>
            </w:r>
          </w:p>
          <w:p w14:paraId="58F0D49A" w14:textId="77777777" w:rsidR="0094761C" w:rsidRPr="00124EDB" w:rsidRDefault="0094761C" w:rsidP="0094761C">
            <w:pPr>
              <w:pBdr>
                <w:top w:val="nil"/>
                <w:left w:val="nil"/>
                <w:bottom w:val="nil"/>
                <w:right w:val="nil"/>
                <w:between w:val="nil"/>
              </w:pBdr>
              <w:spacing w:after="0" w:line="240" w:lineRule="auto"/>
              <w:ind w:left="343"/>
              <w:jc w:val="both"/>
              <w:rPr>
                <w:rFonts w:ascii="Times New Roman" w:eastAsia="Times New Roman" w:hAnsi="Times New Roman" w:cs="Times New Roman"/>
                <w:i/>
                <w:iCs/>
                <w:color w:val="000000"/>
                <w:sz w:val="20"/>
                <w:szCs w:val="20"/>
                <w:lang w:val="id-ID"/>
              </w:rPr>
            </w:pPr>
          </w:p>
          <w:p w14:paraId="386E7CFD" w14:textId="44FC71F8" w:rsidR="0094761C" w:rsidRPr="0094761C" w:rsidRDefault="0094761C" w:rsidP="00D6529F">
            <w:pPr>
              <w:pBdr>
                <w:top w:val="nil"/>
                <w:left w:val="nil"/>
                <w:bottom w:val="nil"/>
                <w:right w:val="nil"/>
                <w:between w:val="nil"/>
              </w:pBdr>
              <w:spacing w:after="0" w:line="240" w:lineRule="auto"/>
              <w:ind w:left="343" w:hanging="343"/>
              <w:jc w:val="both"/>
              <w:rPr>
                <w:rFonts w:ascii="Times New Roman" w:eastAsia="Times New Roman" w:hAnsi="Times New Roman" w:cs="Times New Roman"/>
                <w:i/>
                <w:iCs/>
                <w:color w:val="000000"/>
                <w:sz w:val="20"/>
                <w:szCs w:val="20"/>
              </w:rPr>
            </w:pPr>
            <w:r w:rsidRPr="0099292E">
              <w:rPr>
                <w:rFonts w:ascii="Times New Roman" w:eastAsia="Times New Roman" w:hAnsi="Times New Roman" w:cs="Times New Roman"/>
                <w:i/>
                <w:iCs/>
                <w:color w:val="000000"/>
                <w:sz w:val="20"/>
                <w:szCs w:val="20"/>
              </w:rPr>
              <w:t xml:space="preserve">Keywords: </w:t>
            </w:r>
            <w:r w:rsidR="00D25D7E">
              <w:rPr>
                <w:rFonts w:ascii="Times New Roman" w:eastAsia="Times New Roman" w:hAnsi="Times New Roman" w:cs="Times New Roman"/>
                <w:i/>
                <w:iCs/>
                <w:color w:val="000000"/>
                <w:sz w:val="20"/>
                <w:szCs w:val="20"/>
                <w:lang w:val="id-ID"/>
              </w:rPr>
              <w:t>ESG, t</w:t>
            </w:r>
            <w:r w:rsidR="00D25D7E">
              <w:rPr>
                <w:rFonts w:ascii="Times New Roman" w:eastAsia="Times New Roman" w:hAnsi="Times New Roman" w:cs="Times New Roman"/>
                <w:i/>
                <w:iCs/>
                <w:color w:val="000000"/>
                <w:sz w:val="20"/>
                <w:szCs w:val="20"/>
              </w:rPr>
              <w:t xml:space="preserve">ax </w:t>
            </w:r>
            <w:r w:rsidR="00D25D7E">
              <w:rPr>
                <w:rFonts w:ascii="Times New Roman" w:eastAsia="Times New Roman" w:hAnsi="Times New Roman" w:cs="Times New Roman"/>
                <w:i/>
                <w:iCs/>
                <w:color w:val="000000"/>
                <w:sz w:val="20"/>
                <w:szCs w:val="20"/>
                <w:lang w:val="id-ID"/>
              </w:rPr>
              <w:t>a</w:t>
            </w:r>
            <w:r w:rsidRPr="0099292E">
              <w:rPr>
                <w:rFonts w:ascii="Times New Roman" w:eastAsia="Times New Roman" w:hAnsi="Times New Roman" w:cs="Times New Roman"/>
                <w:i/>
                <w:iCs/>
                <w:color w:val="000000"/>
                <w:sz w:val="20"/>
                <w:szCs w:val="20"/>
              </w:rPr>
              <w:t xml:space="preserve">voidance, </w:t>
            </w:r>
            <w:r>
              <w:rPr>
                <w:rFonts w:ascii="Times New Roman" w:eastAsia="Times New Roman" w:hAnsi="Times New Roman" w:cs="Times New Roman"/>
                <w:i/>
                <w:iCs/>
                <w:color w:val="000000"/>
                <w:sz w:val="20"/>
                <w:szCs w:val="20"/>
              </w:rPr>
              <w:t>Systematic Literature</w:t>
            </w:r>
            <w:r w:rsidRPr="0099292E">
              <w:rPr>
                <w:rFonts w:ascii="Times New Roman" w:eastAsia="Times New Roman" w:hAnsi="Times New Roman" w:cs="Times New Roman"/>
                <w:i/>
                <w:iCs/>
                <w:color w:val="000000"/>
                <w:sz w:val="20"/>
                <w:szCs w:val="20"/>
              </w:rPr>
              <w:t xml:space="preserve"> Review</w:t>
            </w:r>
          </w:p>
        </w:tc>
      </w:tr>
    </w:tbl>
    <w:p w14:paraId="0F773AEE" w14:textId="4417370D" w:rsidR="00133893" w:rsidRPr="0099292E" w:rsidRDefault="00487A9E" w:rsidP="00542793">
      <w:pPr>
        <w:numPr>
          <w:ilvl w:val="0"/>
          <w:numId w:val="1"/>
        </w:numPr>
        <w:pBdr>
          <w:top w:val="nil"/>
          <w:left w:val="nil"/>
          <w:bottom w:val="nil"/>
          <w:right w:val="nil"/>
          <w:between w:val="nil"/>
        </w:pBdr>
        <w:spacing w:after="0"/>
        <w:ind w:left="426" w:hanging="426"/>
        <w:contextualSpacing/>
        <w:jc w:val="both"/>
        <w:rPr>
          <w:rFonts w:ascii="Times New Roman" w:eastAsia="Times New Roman" w:hAnsi="Times New Roman" w:cs="Times New Roman"/>
          <w:b/>
          <w:color w:val="000000"/>
          <w:sz w:val="24"/>
          <w:szCs w:val="24"/>
        </w:rPr>
      </w:pPr>
      <w:r w:rsidRPr="0099292E">
        <w:rPr>
          <w:rFonts w:ascii="Times New Roman" w:eastAsia="Times New Roman" w:hAnsi="Times New Roman" w:cs="Times New Roman"/>
          <w:b/>
          <w:color w:val="000000"/>
          <w:sz w:val="24"/>
          <w:szCs w:val="24"/>
        </w:rPr>
        <w:lastRenderedPageBreak/>
        <w:t>Introduction</w:t>
      </w:r>
    </w:p>
    <w:p w14:paraId="307D76DD" w14:textId="7CD78439" w:rsidR="00361DD1" w:rsidRPr="0099292E" w:rsidRDefault="00487A9E" w:rsidP="00675AEF">
      <w:pPr>
        <w:spacing w:after="0"/>
        <w:ind w:firstLine="425"/>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Tax</w:t>
      </w:r>
      <w:r w:rsidR="000C3E8C" w:rsidRPr="0099292E">
        <w:rPr>
          <w:rFonts w:ascii="Times New Roman" w:eastAsia="Times New Roman" w:hAnsi="Times New Roman" w:cs="Times New Roman"/>
          <w:sz w:val="24"/>
          <w:szCs w:val="24"/>
        </w:rPr>
        <w:t xml:space="preserve"> revenue</w:t>
      </w:r>
      <w:r w:rsidRPr="0099292E">
        <w:rPr>
          <w:rFonts w:ascii="Times New Roman" w:eastAsia="Times New Roman" w:hAnsi="Times New Roman" w:cs="Times New Roman"/>
          <w:sz w:val="24"/>
          <w:szCs w:val="24"/>
        </w:rPr>
        <w:t xml:space="preserve"> </w:t>
      </w:r>
      <w:r w:rsidR="000C3E8C" w:rsidRPr="0099292E">
        <w:rPr>
          <w:rFonts w:ascii="Times New Roman" w:eastAsia="Times New Roman" w:hAnsi="Times New Roman" w:cs="Times New Roman"/>
          <w:sz w:val="24"/>
          <w:szCs w:val="24"/>
        </w:rPr>
        <w:t>constitutes</w:t>
      </w:r>
      <w:r w:rsidRPr="0099292E">
        <w:rPr>
          <w:rFonts w:ascii="Times New Roman" w:eastAsia="Times New Roman" w:hAnsi="Times New Roman" w:cs="Times New Roman"/>
          <w:sz w:val="24"/>
          <w:szCs w:val="24"/>
        </w:rPr>
        <w:t xml:space="preserve"> the main pillar in financing national development in Indonesia. Its contribution to state revenue is significant, even consistently contributing around 80% to the State Budget (APBN). </w:t>
      </w:r>
      <w:r w:rsidR="00CF2ACB">
        <w:rPr>
          <w:rFonts w:ascii="Times New Roman" w:eastAsia="Times New Roman" w:hAnsi="Times New Roman" w:cs="Times New Roman"/>
          <w:sz w:val="24"/>
          <w:szCs w:val="24"/>
        </w:rPr>
        <w:t>From</w:t>
      </w:r>
      <w:r w:rsidRPr="0099292E">
        <w:rPr>
          <w:rFonts w:ascii="Times New Roman" w:eastAsia="Times New Roman" w:hAnsi="Times New Roman" w:cs="Times New Roman"/>
          <w:sz w:val="24"/>
          <w:szCs w:val="24"/>
        </w:rPr>
        <w:t xml:space="preserve"> 2019 to 2023, the </w:t>
      </w:r>
      <w:r w:rsidR="00275AB2" w:rsidRPr="0099292E">
        <w:rPr>
          <w:rFonts w:ascii="Times New Roman" w:eastAsia="Times New Roman" w:hAnsi="Times New Roman" w:cs="Times New Roman"/>
          <w:sz w:val="24"/>
          <w:szCs w:val="24"/>
        </w:rPr>
        <w:t>realization</w:t>
      </w:r>
      <w:r w:rsidRPr="0099292E">
        <w:rPr>
          <w:rFonts w:ascii="Times New Roman" w:eastAsia="Times New Roman" w:hAnsi="Times New Roman" w:cs="Times New Roman"/>
          <w:sz w:val="24"/>
          <w:szCs w:val="24"/>
        </w:rPr>
        <w:t xml:space="preserve"> of national tax revenue experienced significant nominal growth, from IDR 1,333 trillion in 2019 to IDR 1,869 trillion in 2023</w:t>
      </w:r>
      <w:r w:rsidR="00301863" w:rsidRPr="0099292E">
        <w:rPr>
          <w:rFonts w:ascii="Times New Roman" w:eastAsia="Times New Roman" w:hAnsi="Times New Roman" w:cs="Times New Roman"/>
          <w:sz w:val="24"/>
          <w:szCs w:val="24"/>
        </w:rPr>
        <w:t xml:space="preserve"> </w:t>
      </w:r>
      <w:hyperlink w:anchor="Direktorat" w:history="1">
        <w:r w:rsidR="00301863" w:rsidRPr="0099292E">
          <w:rPr>
            <w:rStyle w:val="Hyperlink"/>
            <w:rFonts w:ascii="Times New Roman" w:eastAsia="Times New Roman" w:hAnsi="Times New Roman" w:cs="Times New Roman"/>
            <w:sz w:val="24"/>
            <w:szCs w:val="24"/>
          </w:rPr>
          <w:fldChar w:fldCharType="begin" w:fldLock="1"/>
        </w:r>
        <w:r w:rsidR="00301863" w:rsidRPr="0099292E">
          <w:rPr>
            <w:rStyle w:val="Hyperlink"/>
            <w:rFonts w:ascii="Times New Roman" w:eastAsia="Times New Roman" w:hAnsi="Times New Roman" w:cs="Times New Roman"/>
            <w:sz w:val="24"/>
            <w:szCs w:val="24"/>
          </w:rPr>
          <w:instrText>ADDIN CSL_CITATION {"citationItems":[{"id":"ITEM-1","itemData":{"URL":"https://pajak.go.id/index.php/id/artikel/statistik-penerimaan-pajak-tahun-2023-dalam-angka","accessed":{"date-parts":[["2025","6","24"]]},"author":[{"dropping-particle":"","family":"Direktorat Jenderal Pajak","given":"","non-dropping-particle":"","parse-names":false,"suffix":""}],"container-title":"Direktorat Jenderal Pajak","id":"ITEM-1","issued":{"date-parts":[["2024"]]},"title":"Statistik Penerimaan Pajak Tahun 2023 dalam Angka","type":"webpage"},"uris":["http://www.mendeley.com/documents/?uuid=63261917-5fd4-4ea8-b100-1ddd0e07ef8d"]}],"mendeley":{"formattedCitation":"(Direktorat Jenderal Pajak, 2024)","plainTextFormattedCitation":"(Direktorat Jenderal Pajak, 2024)","previouslyFormattedCitation":"(Direktorat Jenderal Pajak, 2024)"},"properties":{"noteIndex":0},"schema":"https://github.com/citation-style-language/schema/raw/master/csl-citation.json"}</w:instrText>
        </w:r>
        <w:r w:rsidR="00301863" w:rsidRPr="0099292E">
          <w:rPr>
            <w:rStyle w:val="Hyperlink"/>
            <w:rFonts w:ascii="Times New Roman" w:eastAsia="Times New Roman" w:hAnsi="Times New Roman" w:cs="Times New Roman"/>
            <w:sz w:val="24"/>
            <w:szCs w:val="24"/>
          </w:rPr>
          <w:fldChar w:fldCharType="separate"/>
        </w:r>
        <w:r w:rsidR="00301863" w:rsidRPr="00855207">
          <w:rPr>
            <w:rStyle w:val="Hyperlink"/>
            <w:rFonts w:ascii="Times New Roman" w:eastAsia="Times New Roman" w:hAnsi="Times New Roman" w:cs="Times New Roman"/>
            <w:noProof/>
            <w:sz w:val="24"/>
            <w:szCs w:val="24"/>
            <w:u w:val="none"/>
          </w:rPr>
          <w:t>(Direktorat Jenderal Pajak, 2024</w:t>
        </w:r>
        <w:r w:rsidR="00301863" w:rsidRPr="0099292E">
          <w:rPr>
            <w:rStyle w:val="Hyperlink"/>
            <w:rFonts w:ascii="Times New Roman" w:eastAsia="Times New Roman" w:hAnsi="Times New Roman" w:cs="Times New Roman"/>
            <w:noProof/>
            <w:sz w:val="24"/>
            <w:szCs w:val="24"/>
          </w:rPr>
          <w:t>)</w:t>
        </w:r>
        <w:r w:rsidR="00301863" w:rsidRPr="0099292E">
          <w:rPr>
            <w:rStyle w:val="Hyperlink"/>
            <w:rFonts w:ascii="Times New Roman" w:eastAsia="Times New Roman" w:hAnsi="Times New Roman" w:cs="Times New Roman"/>
            <w:sz w:val="24"/>
            <w:szCs w:val="24"/>
          </w:rPr>
          <w:fldChar w:fldCharType="end"/>
        </w:r>
      </w:hyperlink>
      <w:r w:rsidRPr="0099292E">
        <w:rPr>
          <w:rFonts w:ascii="Times New Roman" w:eastAsia="Times New Roman" w:hAnsi="Times New Roman" w:cs="Times New Roman"/>
          <w:sz w:val="24"/>
          <w:szCs w:val="24"/>
        </w:rPr>
        <w:t xml:space="preserve">. Although revenue has increased nominally, Indonesia still faces serious problems related to the </w:t>
      </w:r>
      <w:r w:rsidR="009D7FF5">
        <w:rPr>
          <w:rFonts w:ascii="Times New Roman" w:eastAsia="Times New Roman" w:hAnsi="Times New Roman" w:cs="Times New Roman"/>
          <w:sz w:val="24"/>
          <w:szCs w:val="24"/>
        </w:rPr>
        <w:t>tax-to-</w:t>
      </w:r>
      <w:r w:rsidRPr="0099292E">
        <w:rPr>
          <w:rFonts w:ascii="Times New Roman" w:eastAsia="Times New Roman" w:hAnsi="Times New Roman" w:cs="Times New Roman"/>
          <w:sz w:val="24"/>
          <w:szCs w:val="24"/>
        </w:rPr>
        <w:t>Gross Domestic Product (GDP) ratio (tax ratio)</w:t>
      </w:r>
      <w:r w:rsidR="00CF2ACB">
        <w:rPr>
          <w:rFonts w:ascii="Times New Roman" w:eastAsia="Times New Roman" w:hAnsi="Times New Roman" w:cs="Times New Roman"/>
          <w:sz w:val="24"/>
          <w:szCs w:val="24"/>
        </w:rPr>
        <w:t>,</w:t>
      </w:r>
      <w:r w:rsidRPr="0099292E">
        <w:rPr>
          <w:rFonts w:ascii="Times New Roman" w:eastAsia="Times New Roman" w:hAnsi="Times New Roman" w:cs="Times New Roman"/>
          <w:sz w:val="24"/>
          <w:szCs w:val="24"/>
        </w:rPr>
        <w:t xml:space="preserve"> which is still relatively low</w:t>
      </w:r>
      <w:r w:rsidR="00301863" w:rsidRPr="0099292E">
        <w:rPr>
          <w:rFonts w:ascii="Times New Roman" w:eastAsia="Times New Roman" w:hAnsi="Times New Roman" w:cs="Times New Roman"/>
          <w:sz w:val="24"/>
          <w:szCs w:val="24"/>
        </w:rPr>
        <w:t xml:space="preserve"> </w:t>
      </w:r>
      <w:hyperlink w:anchor="Sulfia" w:history="1">
        <w:r w:rsidR="00301863" w:rsidRPr="0099292E">
          <w:rPr>
            <w:rStyle w:val="Hyperlink"/>
            <w:rFonts w:ascii="Times New Roman" w:eastAsia="Times New Roman" w:hAnsi="Times New Roman" w:cs="Times New Roman"/>
            <w:sz w:val="24"/>
            <w:szCs w:val="24"/>
          </w:rPr>
          <w:fldChar w:fldCharType="begin" w:fldLock="1"/>
        </w:r>
        <w:r w:rsidR="00301863" w:rsidRPr="0099292E">
          <w:rPr>
            <w:rStyle w:val="Hyperlink"/>
            <w:rFonts w:ascii="Times New Roman" w:eastAsia="Times New Roman" w:hAnsi="Times New Roman" w:cs="Times New Roman"/>
            <w:sz w:val="24"/>
            <w:szCs w:val="24"/>
          </w:rPr>
          <w:instrText>ADDIN CSL_CITATION {"citationItems":[{"id":"ITEM-1","itemData":{"DOI":"10.22495/jgrv13i4siart2","ISSN":"23066784","abstract":"This research aims to study the relationship between managerial ownership, institutional ownership, foreign ownership, board gender diversity, and independent commissioner on tax avoidance in Indonesia. The researchers use several control variables which are leverage, solvability, board size and firm size to be used as a benchmark for tax avoidance. The research sample consists of companies in the non-cyclical consumer sector listed on the Indonesian Stock Exchange (IDX). The result of the research shows that both managerial ownership and foreign ownership have a positive and significant effect on tax avoidance. While the presence of independent commissioners has a negative and significant effect on tax avoidance. Moreover, institutional ownership, board gender diversity, board size, leverage, solvency, and firm size have no effect on tax avoidance. The presence of an independent board of commissioners is crucial in preventing tax avoidance practices, whereas the inclusion of female directors does not demonstrate a reduction in tax avoidance within companies. The study holds policy implications for policymakers regarding the design of future tax systems, aiming to minimize the potential involvement in tax avoidance practices.","author":[{"dropping-particle":"","family":"Sulfia","given":"Ivon","non-dropping-particle":"","parse-names":false,"suffix":""},{"dropping-particle":"","family":"Rusmanto","given":"Toto","non-dropping-particle":"","parse-names":false,"suffix":""}],"container-title":"Journal of Governance and Regulation","id":"ITEM-1","issue":"4 (special issue)","issued":{"date-parts":[["2024"]]},"page":"236-246","title":"the Role of Corporate Governance in Mitigating Tax Avoidance","type":"article-journal","volume":"13"},"uris":["http://www.mendeley.com/documents/?uuid=61cbe664-4097-4424-83dd-de796bd73bd4"]}],"mendeley":{"formattedCitation":"(Sulfia &amp; Rusmanto, 2024)","plainTextFormattedCitation":"(Sulfia &amp; Rusmanto, 2024)","previouslyFormattedCitation":"(Sulfia &amp; Rusmanto, 2024)"},"properties":{"noteIndex":0},"schema":"https://github.com/citation-style-language/schema/raw/master/csl-citation.json"}</w:instrText>
        </w:r>
        <w:r w:rsidR="00301863" w:rsidRPr="0099292E">
          <w:rPr>
            <w:rStyle w:val="Hyperlink"/>
            <w:rFonts w:ascii="Times New Roman" w:eastAsia="Times New Roman" w:hAnsi="Times New Roman" w:cs="Times New Roman"/>
            <w:sz w:val="24"/>
            <w:szCs w:val="24"/>
          </w:rPr>
          <w:fldChar w:fldCharType="separate"/>
        </w:r>
        <w:r w:rsidR="00301863" w:rsidRPr="0099292E">
          <w:rPr>
            <w:rStyle w:val="Hyperlink"/>
            <w:rFonts w:ascii="Times New Roman" w:eastAsia="Times New Roman" w:hAnsi="Times New Roman" w:cs="Times New Roman"/>
            <w:noProof/>
            <w:sz w:val="24"/>
            <w:szCs w:val="24"/>
          </w:rPr>
          <w:t>(</w:t>
        </w:r>
        <w:r w:rsidR="00301863" w:rsidRPr="00855207">
          <w:rPr>
            <w:rStyle w:val="Hyperlink"/>
            <w:rFonts w:ascii="Times New Roman" w:eastAsia="Times New Roman" w:hAnsi="Times New Roman" w:cs="Times New Roman"/>
            <w:noProof/>
            <w:sz w:val="24"/>
            <w:szCs w:val="24"/>
            <w:u w:val="none"/>
          </w:rPr>
          <w:t>Sulfia &amp; Rusmanto, 2024)</w:t>
        </w:r>
        <w:r w:rsidR="00301863" w:rsidRPr="0099292E">
          <w:rPr>
            <w:rStyle w:val="Hyperlink"/>
            <w:rFonts w:ascii="Times New Roman" w:eastAsia="Times New Roman" w:hAnsi="Times New Roman" w:cs="Times New Roman"/>
            <w:sz w:val="24"/>
            <w:szCs w:val="24"/>
          </w:rPr>
          <w:fldChar w:fldCharType="end"/>
        </w:r>
      </w:hyperlink>
      <w:r w:rsidRPr="0099292E">
        <w:rPr>
          <w:rFonts w:ascii="Times New Roman" w:eastAsia="Times New Roman" w:hAnsi="Times New Roman" w:cs="Times New Roman"/>
          <w:sz w:val="24"/>
          <w:szCs w:val="24"/>
        </w:rPr>
        <w:t xml:space="preserve">. </w:t>
      </w:r>
      <w:r w:rsidR="00D72012" w:rsidRPr="0099292E">
        <w:rPr>
          <w:rFonts w:ascii="Times New Roman" w:eastAsia="Times New Roman" w:hAnsi="Times New Roman" w:cs="Times New Roman"/>
          <w:sz w:val="24"/>
          <w:szCs w:val="24"/>
        </w:rPr>
        <w:t>In 2022, Indonesia’s tax ratio was approximately 12.1%, which is well below the ASEAN average. For instance, Thailand (16.7%) and the Philippines (18.4%)</w:t>
      </w:r>
      <w:r w:rsidR="00301863" w:rsidRPr="0099292E">
        <w:rPr>
          <w:rFonts w:ascii="Times New Roman" w:eastAsia="Times New Roman" w:hAnsi="Times New Roman" w:cs="Times New Roman"/>
          <w:sz w:val="24"/>
          <w:szCs w:val="24"/>
        </w:rPr>
        <w:t xml:space="preserve"> </w:t>
      </w:r>
      <w:hyperlink w:anchor="OECD"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author":[{"dropping-particle":"","family":"OECD","given":"","non-dropping-particle":"","parse-names":false,"suffix":""}],"container-title":"Oecd","id":"ITEM-1","issue":"29","issued":{"date-parts":[["2023"]]},"page":"8-9","title":"Revenue Statistics in Asia and the Pacific 2023 ─ Indonesia Tax-to-GDP ratio Tax structures Personal income tax Social security contributions Value added taxes / Goods and services tax Other taxes on goods and services","type":"article-journal"},"uris":["http://www.mendeley.com/documents/?uuid=bfc06d9c-766c-4862-b087-870021a59c02"]}],"mendeley":{"formattedCitation":"(OECD, 2023)","plainTextFormattedCitation":"(OECD, 2023)","previouslyFormattedCitation":"(OECD, 2023)"},"properties":{"noteIndex":0},"schema":"https://github.com/citation-style-language/schema/raw/master/csl-citation.json"}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(OECD, 2023)</w:t>
        </w:r>
        <w:r w:rsidR="00301863" w:rsidRPr="00855207">
          <w:rPr>
            <w:rStyle w:val="Hyperlink"/>
            <w:rFonts w:ascii="Times New Roman" w:eastAsia="Times New Roman" w:hAnsi="Times New Roman" w:cs="Times New Roman"/>
            <w:sz w:val="24"/>
            <w:szCs w:val="24"/>
            <w:u w:val="none"/>
          </w:rPr>
          <w:fldChar w:fldCharType="end"/>
        </w:r>
      </w:hyperlink>
      <w:r w:rsidR="00361DD1" w:rsidRPr="0099292E">
        <w:rPr>
          <w:rFonts w:ascii="Times New Roman" w:eastAsia="Times New Roman" w:hAnsi="Times New Roman" w:cs="Times New Roman"/>
          <w:sz w:val="24"/>
          <w:szCs w:val="24"/>
        </w:rPr>
        <w:t xml:space="preserve">. </w:t>
      </w:r>
      <w:r w:rsidRPr="0099292E">
        <w:rPr>
          <w:rFonts w:ascii="Times New Roman" w:eastAsia="Times New Roman" w:hAnsi="Times New Roman" w:cs="Times New Roman"/>
          <w:sz w:val="24"/>
          <w:szCs w:val="24"/>
        </w:rPr>
        <w:t xml:space="preserve">The size of the tax ratio reflects the level of public compliance with tax payments. </w:t>
      </w:r>
      <w:r w:rsidR="00187D6F" w:rsidRPr="0099292E">
        <w:rPr>
          <w:rFonts w:ascii="Times New Roman" w:eastAsia="Times New Roman" w:hAnsi="Times New Roman" w:cs="Times New Roman"/>
          <w:sz w:val="24"/>
          <w:szCs w:val="24"/>
        </w:rPr>
        <w:t xml:space="preserve">Tax compliance plays an important role and </w:t>
      </w:r>
      <w:r w:rsidR="00CF2ACB">
        <w:rPr>
          <w:rFonts w:ascii="Times New Roman" w:eastAsia="Times New Roman" w:hAnsi="Times New Roman" w:cs="Times New Roman"/>
          <w:sz w:val="24"/>
          <w:szCs w:val="24"/>
        </w:rPr>
        <w:t>is a major challenge</w:t>
      </w:r>
      <w:r w:rsidR="00187D6F" w:rsidRPr="0099292E">
        <w:rPr>
          <w:rFonts w:ascii="Times New Roman" w:eastAsia="Times New Roman" w:hAnsi="Times New Roman" w:cs="Times New Roman"/>
          <w:sz w:val="24"/>
          <w:szCs w:val="24"/>
        </w:rPr>
        <w:t xml:space="preserve"> in increasing government revenue in many developing countries</w:t>
      </w:r>
      <w:r w:rsidR="00301863" w:rsidRPr="0099292E">
        <w:rPr>
          <w:rFonts w:ascii="Times New Roman" w:eastAsia="Times New Roman" w:hAnsi="Times New Roman" w:cs="Times New Roman"/>
          <w:sz w:val="24"/>
          <w:szCs w:val="24"/>
        </w:rPr>
        <w:t xml:space="preserve"> </w:t>
      </w:r>
      <w:r w:rsidR="00301863" w:rsidRPr="0099292E">
        <w:rPr>
          <w:rFonts w:ascii="Times New Roman" w:eastAsia="Times New Roman" w:hAnsi="Times New Roman" w:cs="Times New Roman"/>
          <w:sz w:val="24"/>
          <w:szCs w:val="24"/>
        </w:rPr>
        <w:fldChar w:fldCharType="begin" w:fldLock="1"/>
      </w:r>
      <w:r w:rsidR="00301863" w:rsidRPr="0099292E">
        <w:rPr>
          <w:rFonts w:ascii="Times New Roman" w:eastAsia="Times New Roman" w:hAnsi="Times New Roman" w:cs="Times New Roman"/>
          <w:sz w:val="24"/>
          <w:szCs w:val="24"/>
        </w:rPr>
        <w:instrText>ADDIN CSL_CITATION {"citationItems":[{"id":"ITEM-1","itemData":{"DOI":"10.1080/23311975.2022.2049436","ISSN":"23311975","abstract":"The phenomenon of tax education, fear-appealing, and the convenience of tax has become vital in contemporary tax revenue discourse as it is believed that non-compliance of tax has adverse implications on the revenue generation capacity, especially in developing countries. This study departs from the traditional studies on tax compliance by examining the relationship between tax education, committed tax compliance, and capitulative tax compliance among the self-employed in the context of a hierarchical regression. The research design was cross-sectional and correlational using a sample of 400 respondents from a population of 28,355. The results show that albeit tax education and the convenience of tax compliance act as grease in the wheels of committed tax compliance, with both establishing a significant positive relationship with committed tax compliance while fear-appealing messages act as sand in the wheels of committed tax compliance. Also, convenience tax compliance positively influences committed tax compliance while general tax knowledge, fear-appealing messages, and convenience compliance have a unique contribution to capitulative tax compliance. Based on these findings, it is recommended that the revenue authorities should make tax laws less complex to reduce the cost of compliance and enhance tax convenience. Also, regulators of the education sector in conjunction with the revenue authorities should introduce basic tax education as a compulsory course into the school curriculum to boost general tax knowledge because it enhances tax compliance.","author":[{"dropping-particle":"","family":"Trawule","given":"Alhassan Yusif","non-dropping-particle":"","parse-names":false,"suffix":""},{"dropping-particle":"","family":"Gadzo","given":"Samuel Gameli","non-dropping-particle":"","parse-names":false,"suffix":""},{"dropping-particle":"","family":"Kportorgbi","given":"Holy Kwabla","non-dropping-particle":"","parse-names":false,"suffix":""},{"dropping-particle":"","family":"Sam-Quarm","given":"Richmond","non-dropping-particle":"","parse-names":false,"suffix":""}],"container-title":"Cogent Business and Management","id":"ITEM-1","issue":"1","issued":{"date-parts":[["2022"]]},"publisher":"Cogent","title":"Tax education and fear-appealing messages: A grease or sand in the wheels of tax compliance?","type":"article-journal","volume":"9"},"uris":["http://www.mendeley.com/documents/?uuid=fc46d217-87fd-4d62-b930-4d957160ebfd"]},{"id":"ITEM-2","itemData":{"DOI":"10.24843/eja.2019.v29.i01.p09","abstract":"This study aims to determine the effect of corporate governance and profitability on tax avoidance with company size as a moderator. The number of samples analyzed were 55 samples of food and beverage companies listed on the Indonesia Stock Exchange (IDX) in 2013-2017. Determination of samples using purposive sampling technique. Analysis of research data using multiple linear regression and moderation regression analysis. The results of the analysis show that institutional ownership and independent commissioners have a negative influence on tax avoidance. Profitability has a positive effect on tax avoidance. The size of the company strengthens the relationship of institutional ownership with tax avoidance. Company size is not able to moderate independent commissioners with tax avoidance. Company size weakens profitability relations with tax avoidance.Keywords : Tax avoidance; corporate governance; profitability; and company size.","author":[{"dropping-particle":"","family":"Yuni","given":"Ni Putu Ayu Indira","non-dropping-particle":"","parse-names":false,"suffix":""},{"dropping-particle":"","family":"Setiawan","given":"Putu Ery","non-dropping-particle":"","parse-names":false,"suffix":""}],"container-title":"E-Jurnal Akuntansi","id":"ITEM-2","issue":"1","issued":{"date-parts":[["2019"]]},"page":"128","title":"Pengaruh Corporate Governance dan Profitabilitas terhadap Penghindaran Pajak dengan Ukuran Perusahaan Sebagai Variabel Pemoderasi","type":"article-journal","volume":"29"},"uris":["http://www.mendeley.com/documents/?uuid=a681f6b0-446e-423b-bb08-99580b69fb77"]}],"mendeley":{"formattedCitation":"(Trawule et al., 2022; Yuni &amp; Setiawan, 2019)","plainTextFormattedCitation":"(Trawule et al., 2022; Yuni &amp; Setiawan, 2019)","previouslyFormattedCitation":"(Trawule et al., 2022; Yuni &amp; Setiawan, 2019)"},"properties":{"noteIndex":0},"schema":"https://github.com/citation-style-language/schema/raw/master/csl-citation.json"}</w:instrText>
      </w:r>
      <w:r w:rsidR="00301863" w:rsidRPr="0099292E">
        <w:rPr>
          <w:rFonts w:ascii="Times New Roman" w:eastAsia="Times New Roman" w:hAnsi="Times New Roman" w:cs="Times New Roman"/>
          <w:sz w:val="24"/>
          <w:szCs w:val="24"/>
        </w:rPr>
        <w:fldChar w:fldCharType="separate"/>
      </w:r>
      <w:hyperlink w:anchor="Trawule" w:history="1">
        <w:r w:rsidR="00301863" w:rsidRPr="00855207">
          <w:rPr>
            <w:rStyle w:val="Hyperlink"/>
            <w:rFonts w:ascii="Times New Roman" w:eastAsia="Times New Roman" w:hAnsi="Times New Roman" w:cs="Times New Roman"/>
            <w:noProof/>
            <w:sz w:val="24"/>
            <w:szCs w:val="24"/>
            <w:u w:val="none"/>
          </w:rPr>
          <w:t>(Trawule et al., 2022</w:t>
        </w:r>
      </w:hyperlink>
      <w:r w:rsidR="00301863" w:rsidRPr="00855207">
        <w:rPr>
          <w:rFonts w:ascii="Times New Roman" w:eastAsia="Times New Roman" w:hAnsi="Times New Roman" w:cs="Times New Roman"/>
          <w:noProof/>
          <w:sz w:val="24"/>
          <w:szCs w:val="24"/>
        </w:rPr>
        <w:t xml:space="preserve">; </w:t>
      </w:r>
      <w:hyperlink w:anchor="Yuni" w:history="1">
        <w:r w:rsidR="00301863" w:rsidRPr="00855207">
          <w:rPr>
            <w:rStyle w:val="Hyperlink"/>
            <w:rFonts w:ascii="Times New Roman" w:eastAsia="Times New Roman" w:hAnsi="Times New Roman" w:cs="Times New Roman"/>
            <w:noProof/>
            <w:sz w:val="24"/>
            <w:szCs w:val="24"/>
            <w:u w:val="none"/>
          </w:rPr>
          <w:t>Yuni &amp; Setiawan, 2019)</w:t>
        </w:r>
      </w:hyperlink>
      <w:r w:rsidR="00301863" w:rsidRPr="0099292E">
        <w:rPr>
          <w:rFonts w:ascii="Times New Roman" w:eastAsia="Times New Roman" w:hAnsi="Times New Roman" w:cs="Times New Roman"/>
          <w:sz w:val="24"/>
          <w:szCs w:val="24"/>
        </w:rPr>
        <w:fldChar w:fldCharType="end"/>
      </w:r>
      <w:r w:rsidR="00FD07F6" w:rsidRPr="0099292E">
        <w:rPr>
          <w:rFonts w:ascii="Times New Roman" w:hAnsi="Times New Roman" w:cs="Times New Roman"/>
          <w:sz w:val="24"/>
          <w:szCs w:val="24"/>
        </w:rPr>
        <w:t>.</w:t>
      </w:r>
    </w:p>
    <w:p w14:paraId="5845B9E0" w14:textId="5442C033" w:rsidR="00361DD1" w:rsidRPr="0099292E" w:rsidRDefault="00D72012" w:rsidP="00675AEF">
      <w:pPr>
        <w:spacing w:after="0"/>
        <w:ind w:firstLine="425"/>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Indonesia’s relatively low tax revenue is largely attributable to the widespread practices of tax avoidance and tax evasion</w:t>
      </w:r>
      <w:r w:rsidR="00301863" w:rsidRPr="0099292E">
        <w:rPr>
          <w:rFonts w:ascii="Times New Roman" w:eastAsia="Times New Roman" w:hAnsi="Times New Roman" w:cs="Times New Roman"/>
          <w:sz w:val="24"/>
          <w:szCs w:val="24"/>
        </w:rPr>
        <w:t xml:space="preserve"> </w:t>
      </w:r>
      <w:hyperlink w:anchor="Hajawiyah" w:history="1">
        <w:r w:rsidR="00301863" w:rsidRPr="0099292E">
          <w:rPr>
            <w:rStyle w:val="Hyperlink"/>
            <w:rFonts w:ascii="Times New Roman" w:eastAsia="Times New Roman" w:hAnsi="Times New Roman" w:cs="Times New Roman"/>
            <w:sz w:val="24"/>
            <w:szCs w:val="24"/>
          </w:rPr>
          <w:fldChar w:fldCharType="begin" w:fldLock="1"/>
        </w:r>
        <w:r w:rsidR="00301863" w:rsidRPr="0099292E">
          <w:rPr>
            <w:rStyle w:val="Hyperlink"/>
            <w:rFonts w:ascii="Times New Roman" w:eastAsia="Times New Roman" w:hAnsi="Times New Roman" w:cs="Times New Roman"/>
            <w:sz w:val="24"/>
            <w:szCs w:val="24"/>
          </w:rPr>
          <w:instrText>ADDIN CSL_CITATION {"citationItems":[{"id":"ITEM-1","itemData":{"DOI":"10.1016/j.intaccaudtax.2021.100415","ISSN":"10619518","abstract":"This paper examines the effectiveness of an Indonesian tax amnesty program. Through descriptive quantitative analysis and a complementary empirical study, we find that the tax amnesty improved the tax base and tax revenue in the short run and positively affected tax compliance. The empirical analysis uses a sample of firms listed on the Indonesian Stock Exchange, chosen using certain firm characteristics that were then analyzed using panel data regressions. While the results may have limited generalizability and more research is needed on the long-term effects on tax amnesties, this study will be useful to Directorate General of Taxes in evaluating its tax amnesty policies.","author":[{"dropping-particle":"","family":"Hajawiyah","given":"Ain","non-dropping-particle":"","parse-names":false,"suffix":""},{"dropping-particle":"","family":"Suryarini","given":"Trisni","non-dropping-particle":"","parse-names":false,"suffix":""},{"dropping-particle":"","family":"Kiswanto","given":"","non-dropping-particle":"","parse-names":false,"suffix":""},{"dropping-particle":"","family":"Tarmudji","given":"Tarsis","non-dropping-particle":"","parse-names":false,"suffix":""}],"container-title":"Journal of International Accounting, Auditing and Taxation","id":"ITEM-1","issued":{"date-parts":[["2021"]]},"title":"Analysis of a tax amnesty's effectiveness in Indonesia","type":"article-journal","volume":"44"},"uris":["http://www.mendeley.com/documents/?uuid=6525ceca-1cb9-4a65-a80d-d95520b1278f"]}],"mendeley":{"formattedCitation":"(Hajawiyah et al., 2021)","plainTextFormattedCitation":"(Hajawiyah et al., 2021)","previouslyFormattedCitation":"(Hajawiyah et al., 2021)"},"properties":{"noteIndex":0},"schema":"https://github.com/citation-style-language/schema/raw/master/csl-citation.json"}</w:instrText>
        </w:r>
        <w:r w:rsidR="00301863" w:rsidRPr="0099292E">
          <w:rPr>
            <w:rStyle w:val="Hyperlink"/>
            <w:rFonts w:ascii="Times New Roman" w:eastAsia="Times New Roman" w:hAnsi="Times New Roman" w:cs="Times New Roman"/>
            <w:sz w:val="24"/>
            <w:szCs w:val="24"/>
          </w:rPr>
          <w:fldChar w:fldCharType="separate"/>
        </w:r>
        <w:r w:rsidR="00301863" w:rsidRPr="0099292E">
          <w:rPr>
            <w:rStyle w:val="Hyperlink"/>
            <w:rFonts w:ascii="Times New Roman" w:eastAsia="Times New Roman" w:hAnsi="Times New Roman" w:cs="Times New Roman"/>
            <w:noProof/>
            <w:sz w:val="24"/>
            <w:szCs w:val="24"/>
          </w:rPr>
          <w:t>(</w:t>
        </w:r>
        <w:r w:rsidR="00301863" w:rsidRPr="00855207">
          <w:rPr>
            <w:rStyle w:val="Hyperlink"/>
            <w:rFonts w:ascii="Times New Roman" w:eastAsia="Times New Roman" w:hAnsi="Times New Roman" w:cs="Times New Roman"/>
            <w:noProof/>
            <w:sz w:val="24"/>
            <w:szCs w:val="24"/>
            <w:u w:val="none"/>
          </w:rPr>
          <w:t>Hajawiyah et al., 2021</w:t>
        </w:r>
        <w:r w:rsidR="00301863" w:rsidRPr="0099292E">
          <w:rPr>
            <w:rStyle w:val="Hyperlink"/>
            <w:rFonts w:ascii="Times New Roman" w:eastAsia="Times New Roman" w:hAnsi="Times New Roman" w:cs="Times New Roman"/>
            <w:noProof/>
            <w:sz w:val="24"/>
            <w:szCs w:val="24"/>
          </w:rPr>
          <w:t>)</w:t>
        </w:r>
        <w:r w:rsidR="00301863" w:rsidRPr="0099292E">
          <w:rPr>
            <w:rStyle w:val="Hyperlink"/>
            <w:rFonts w:ascii="Times New Roman" w:eastAsia="Times New Roman" w:hAnsi="Times New Roman" w:cs="Times New Roman"/>
            <w:sz w:val="24"/>
            <w:szCs w:val="24"/>
          </w:rPr>
          <w:fldChar w:fldCharType="end"/>
        </w:r>
      </w:hyperlink>
      <w:r w:rsidR="00361DD1" w:rsidRPr="0099292E">
        <w:rPr>
          <w:rFonts w:ascii="Times New Roman" w:eastAsia="Times New Roman" w:hAnsi="Times New Roman" w:cs="Times New Roman"/>
          <w:sz w:val="24"/>
          <w:szCs w:val="24"/>
        </w:rPr>
        <w:t xml:space="preserve">. </w:t>
      </w:r>
      <w:r w:rsidR="00487A9E" w:rsidRPr="0099292E">
        <w:rPr>
          <w:rFonts w:ascii="Times New Roman" w:eastAsia="Times New Roman" w:hAnsi="Times New Roman" w:cs="Times New Roman"/>
          <w:sz w:val="24"/>
          <w:szCs w:val="24"/>
        </w:rPr>
        <w:t xml:space="preserve">Tax avoidance refers to activities that are still within the legal framework, while tax evasion is a violation of the law. Both individuals and business entities can </w:t>
      </w:r>
      <w:r w:rsidR="00275AB2" w:rsidRPr="0099292E">
        <w:rPr>
          <w:rFonts w:ascii="Times New Roman" w:eastAsia="Times New Roman" w:hAnsi="Times New Roman" w:cs="Times New Roman"/>
          <w:sz w:val="24"/>
          <w:szCs w:val="24"/>
        </w:rPr>
        <w:t>rationalize</w:t>
      </w:r>
      <w:r w:rsidR="00487A9E" w:rsidRPr="0099292E">
        <w:rPr>
          <w:rFonts w:ascii="Times New Roman" w:eastAsia="Times New Roman" w:hAnsi="Times New Roman" w:cs="Times New Roman"/>
          <w:sz w:val="24"/>
          <w:szCs w:val="24"/>
        </w:rPr>
        <w:t xml:space="preserve"> their reporting decisions by referring to the legal aspects of tax liability reduction strategies</w:t>
      </w:r>
      <w:r w:rsidR="00301863" w:rsidRPr="0099292E">
        <w:rPr>
          <w:rFonts w:ascii="Times New Roman" w:eastAsia="Times New Roman" w:hAnsi="Times New Roman" w:cs="Times New Roman"/>
          <w:sz w:val="24"/>
          <w:szCs w:val="24"/>
        </w:rPr>
        <w:t xml:space="preserve"> </w:t>
      </w:r>
      <w:hyperlink w:anchor="Blaufus"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{"citationItems":[{"id":"ITEM-1","itemData":{"DOI":"10.1016/j.jebo.2016.04.002","ISSN":"01672681","abstract":"Previous research argues that the law expresses social values and could, therefore, influence individual behavior independently of enforcement and penalization. Using three laboratory experiments on tax avoidance and evasion, we study how legality affects individuals' decisions. We find that, without any risk of negative financial consequences, the qualification of tax minimization as illegal versus legal reduces tax minimization considerably. Legislators can thus, in principle, affect subjects' decisions by defining the line between legality and illegality. However, once we introduce potential negative financial consequences, we observe no difference between legal and illegal tax minimization behavior. Only if we use moral priming to increase subjects' moral cost do we again find a legality effect on tax minimization. Overall, this demonstrates the limitations of the expressive function of the law. Legality might be an important determinant of behavior only if we consider activities with little or no risk of negative financial consequences or if subjects are morally primed.","author":[{"dropping-particle":"","family":"Blaufus","given":"Kay","non-dropping-particle":"","parse-names":false,"suffix":""},{"dropping-particle":"","family":"Hundsdoerfer","given":"Jochen","non-dropping-particle":"","parse-names":false,"suffix":""},{"dropping-particle":"","family":"Jacob","given":"Martin","non-dropping-particle":"","parse-names":false,"suffix":""},{"dropping-particle":"","family":"Sünwoldt","given":"Matthias","non-dropping-particle":"","parse-names":false,"suffix":""}],"container-title":"Journal of Economic Behavior and Organization","id":"ITEM-1","issued":{"date-parts":[["2016"]]},"page":"182-206","publisher":"Elsevier B.V.","title":"Does legality matter? The case of tax avoidance and evasion","type":"article-journal","volume":"127"},"uris":["http://www.mendeley.com/documents/?uuid=15cdf4d9-e34f-4499-abff-1ce8fa9f9353"]}],"mendeley":{"formattedCitation":"(Blaufus et al., 2016)","plainTextFormattedCitation":"(Blaufus et al., 2016)","previouslyFormattedCitation":"(Blaufus et al., 2016)"},"properties":{"noteIndex":0},"schema":"https://github.com/citation-style-language/schema/raw/master/csl-citation.json"}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(Blaufus et al., 2016)</w:t>
        </w:r>
        <w:r w:rsidR="00301863" w:rsidRPr="00855207">
          <w:rPr>
            <w:rStyle w:val="Hyperlink"/>
            <w:rFonts w:ascii="Times New Roman" w:eastAsia="Times New Roman" w:hAnsi="Times New Roman" w:cs="Times New Roman"/>
            <w:sz w:val="24"/>
            <w:szCs w:val="24"/>
            <w:u w:val="none"/>
          </w:rPr>
          <w:fldChar w:fldCharType="end"/>
        </w:r>
      </w:hyperlink>
      <w:r w:rsidR="00361DD1" w:rsidRPr="0099292E">
        <w:rPr>
          <w:rFonts w:ascii="Times New Roman" w:eastAsia="Times New Roman" w:hAnsi="Times New Roman" w:cs="Times New Roman"/>
          <w:sz w:val="24"/>
          <w:szCs w:val="24"/>
        </w:rPr>
        <w:t>.</w:t>
      </w:r>
    </w:p>
    <w:p w14:paraId="05F8AC0E" w14:textId="4B09C7DB" w:rsidR="00361DD1" w:rsidRPr="0099292E" w:rsidRDefault="00487A9E" w:rsidP="00675AEF">
      <w:pPr>
        <w:spacing w:after="0"/>
        <w:ind w:firstLine="425"/>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Taxes are a significant burden for companies and have an impact on reducing the cash flow that </w:t>
      </w:r>
      <w:r w:rsidR="00CF2ACB">
        <w:rPr>
          <w:rFonts w:ascii="Times New Roman" w:eastAsia="Times New Roman" w:hAnsi="Times New Roman" w:cs="Times New Roman"/>
          <w:sz w:val="24"/>
          <w:szCs w:val="24"/>
        </w:rPr>
        <w:t>companies and shareholders can use</w:t>
      </w:r>
      <w:r w:rsidRPr="0099292E">
        <w:rPr>
          <w:rFonts w:ascii="Times New Roman" w:eastAsia="Times New Roman" w:hAnsi="Times New Roman" w:cs="Times New Roman"/>
          <w:sz w:val="24"/>
          <w:szCs w:val="24"/>
        </w:rPr>
        <w:t>. Therefore, both companies and shareholders are encouraged to reduce the tax burden through aggressive tax strategies</w:t>
      </w:r>
      <w:r w:rsidR="00301863" w:rsidRPr="0099292E">
        <w:rPr>
          <w:rFonts w:ascii="Times New Roman" w:eastAsia="Times New Roman" w:hAnsi="Times New Roman" w:cs="Times New Roman"/>
          <w:sz w:val="24"/>
          <w:szCs w:val="24"/>
        </w:rPr>
        <w:t xml:space="preserve"> </w:t>
      </w:r>
      <w:hyperlink w:anchor="Chen"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{"citationItems":[{"id":"ITEM-1","itemData":{"DOI":"10.1016/j.jfineco.2009.02.003","ISSN":"0304405X","abstract":"Taxes represent a significant cost to the firm and shareholders, and it is generally expected that shareholders prefer tax aggressiveness. However, this argument ignores potential non-tax costs that can accompany tax aggressiveness, especially those arising from agency problems. Firms owned/run by founding family members are characterized by a unique agency conflict between dominant and small shareholders. Using multiple measures to capture tax aggressiveness and founding family presence, we find that family firms are less tax aggressive than their non-family counterparts, ceteris paribus. This result suggests that family owners are willing to forgo tax benefits to avoid the non-tax cost of a potential price discount, which can arise from minority shareholders' concern with family rent-seeking masked by tax avoidance activities [Desai and Dharmapala, 2006. Corporate tax avoidance and high-powered incentives. Journal of Financial Economics 79, 145-179]. Our result is also consistent with family owners being more concerned with the potential penalty and reputation damage from an IRS audit than non-family firms. We obtain similar inferences when using a small sample of tax shelter cases. © 2009 Elsevier B.V. All rights reserved.","author":[{"dropping-particle":"","family":"Chen","given":"Shuping","non-dropping-particle":"","parse-names":false,"suffix":""},{"dropping-particle":"","family":"Chen","given":"Xia","non-dropping-particle":"","parse-names":false,"suffix":""},{"dropping-particle":"","family":"Cheng","given":"Qiang","non-dropping-particle":"","parse-names":false,"suffix":""},{"dropping-particle":"","family":"Shevlin","given":"Terry","non-dropping-particle":"","parse-names":false,"suffix":""}],"container-title":"Journal of Financial Economics","id":"ITEM-1","issue":"1","issued":{"date-parts":[["2010"]]},"page":"41-61","publisher":"Elsevier","title":"Are family firms more tax aggressive than non-family firms?","type":"article-journal","volume":"95"},"uris":["http://www.mendeley.com/documents/?uuid=e9c9c1a9-44e1-43a8-80e7-1a36fe257ddd"]}],"mendeley":{"formattedCitation":"(S. Chen et al., 2010)","plainTextFormattedCitation":"(S. Chen et al., 2010)","previouslyFormattedCitation":"(S. Chen et al., 2010)"},"properties":{"noteIndex":0},"schema":"https://github.com/citation-style-language/schema/raw/master/csl-citation.json"}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(S. Chen et al., 2010)</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w:t>
      </w:r>
      <w:r w:rsidR="00361DD1" w:rsidRPr="0099292E">
        <w:rPr>
          <w:rFonts w:ascii="Times New Roman" w:eastAsia="Times New Roman" w:hAnsi="Times New Roman" w:cs="Times New Roman"/>
          <w:sz w:val="24"/>
          <w:szCs w:val="24"/>
        </w:rPr>
        <w:t xml:space="preserve"> </w:t>
      </w:r>
      <w:r w:rsidR="003403EC" w:rsidRPr="0099292E">
        <w:rPr>
          <w:rFonts w:ascii="Times New Roman" w:eastAsia="Times New Roman" w:hAnsi="Times New Roman" w:cs="Times New Roman"/>
          <w:sz w:val="24"/>
          <w:szCs w:val="24"/>
        </w:rPr>
        <w:t xml:space="preserve">As for the government, aggressive </w:t>
      </w:r>
      <w:r w:rsidR="00275AB2" w:rsidRPr="0099292E">
        <w:rPr>
          <w:rFonts w:ascii="Times New Roman" w:eastAsia="Times New Roman" w:hAnsi="Times New Roman" w:cs="Times New Roman"/>
          <w:sz w:val="24"/>
          <w:szCs w:val="24"/>
        </w:rPr>
        <w:t>behavior</w:t>
      </w:r>
      <w:r w:rsidR="003403EC" w:rsidRPr="0099292E">
        <w:rPr>
          <w:rFonts w:ascii="Times New Roman" w:eastAsia="Times New Roman" w:hAnsi="Times New Roman" w:cs="Times New Roman"/>
          <w:sz w:val="24"/>
          <w:szCs w:val="24"/>
        </w:rPr>
        <w:t xml:space="preserve"> in taxation can reduce potential state revenue from the taxation</w:t>
      </w:r>
      <w:r w:rsidR="00301863" w:rsidRPr="0099292E">
        <w:rPr>
          <w:rFonts w:ascii="Times New Roman" w:eastAsia="Times New Roman" w:hAnsi="Times New Roman" w:cs="Times New Roman"/>
          <w:sz w:val="24"/>
          <w:szCs w:val="24"/>
        </w:rPr>
        <w:t xml:space="preserve"> sector </w:t>
      </w:r>
      <w:hyperlink w:anchor="Suyanto" w:history="1">
        <w:r w:rsidR="00301863" w:rsidRPr="0099292E">
          <w:rPr>
            <w:rStyle w:val="Hyperlink"/>
            <w:rFonts w:ascii="Times New Roman" w:eastAsia="Times New Roman" w:hAnsi="Times New Roman" w:cs="Times New Roman"/>
            <w:sz w:val="24"/>
            <w:szCs w:val="24"/>
          </w:rPr>
          <w:fldChar w:fldCharType="begin" w:fldLock="1"/>
        </w:r>
        <w:r w:rsidR="00301863" w:rsidRPr="0099292E">
          <w:rPr>
            <w:rStyle w:val="Hyperlink"/>
            <w:rFonts w:ascii="Times New Roman" w:eastAsia="Times New Roman" w:hAnsi="Times New Roman" w:cs="Times New Roman"/>
            <w:sz w:val="24"/>
            <w:szCs w:val="24"/>
          </w:rPr>
          <w:instrText>ADDIN CSL_CITATION {"citationItems":[{"id":"ITEM-1","itemData":{"DOI":"https://doi.org/10.26905/jkdp.v16i2.1057","abstract":"Tax aggressive was the action designed to reduce taxable income appropriate to tax plan, which could be legal or illegal. This study investigated if extent of liquidity, leverage, independent commissioners and earning management affected corporate tax aggressiveness. Effective tax rate (ETR) and cash effective tax rate (CETR) were used to measure tax aggressiveness. Test was conducted for manufacturing firms which were listed in Indonesian Stock Exchange during the period of 2006-2010. Panel data regression was used to test the hypothesis. The result of the hypothesis was that it failed to find significant relation between liquidity and tax aggressiveness. Independent commissioners had a negative impact to tax aggressiveness, but leverage and earning management had a positive impact to tax aggressiveness.","author":[{"dropping-particle":"","family":"Suyanto","given":"Krisnata Dwi","non-dropping-particle":"","parse-names":false,"suffix":""},{"dropping-particle":"","family":"Supramono","given":"Suparmono","non-dropping-particle":"","parse-names":false,"suffix":""}],"container-title":"Jurnal Keuangan dan Perbankan","id":"ITEM-1","issue":"2","issued":{"date-parts":[["2012"]]},"page":"167-177","title":"LIKUIDITAS, LEVERAGE, KOMISARIS INDEPENDEN, DAN MANAJEMEN LABA TERHADAP AGRESIVITAS PAJAK PERUSAHAAN","type":"article-journal","volume":"16"},"uris":["http://www.mendeley.com/documents/?uuid=4d353644-80ad-4346-9cf7-f23a2bded798"]}],"mendeley":{"formattedCitation":"(Suyanto &amp; Supramono, 2012)","plainTextFormattedCitation":"(Suyanto &amp; Supramono, 2012)","previouslyFormattedCitation":"(Suyanto &amp; Supramono, 2012)"},"properties":{"noteIndex":0},"schema":"https://github.com/citation-style-language/schema/raw/master/csl-citation.json"}</w:instrText>
        </w:r>
        <w:r w:rsidR="00301863" w:rsidRPr="0099292E">
          <w:rPr>
            <w:rStyle w:val="Hyperlink"/>
            <w:rFonts w:ascii="Times New Roman" w:eastAsia="Times New Roman" w:hAnsi="Times New Roman" w:cs="Times New Roman"/>
            <w:sz w:val="24"/>
            <w:szCs w:val="24"/>
          </w:rPr>
          <w:fldChar w:fldCharType="separate"/>
        </w:r>
        <w:r w:rsidR="00301863" w:rsidRPr="0099292E">
          <w:rPr>
            <w:rStyle w:val="Hyperlink"/>
            <w:rFonts w:ascii="Times New Roman" w:eastAsia="Times New Roman" w:hAnsi="Times New Roman" w:cs="Times New Roman"/>
            <w:noProof/>
            <w:sz w:val="24"/>
            <w:szCs w:val="24"/>
          </w:rPr>
          <w:t>(</w:t>
        </w:r>
        <w:r w:rsidR="00301863" w:rsidRPr="00855207">
          <w:rPr>
            <w:rStyle w:val="Hyperlink"/>
            <w:rFonts w:ascii="Times New Roman" w:eastAsia="Times New Roman" w:hAnsi="Times New Roman" w:cs="Times New Roman"/>
            <w:noProof/>
            <w:sz w:val="24"/>
            <w:szCs w:val="24"/>
            <w:u w:val="none"/>
          </w:rPr>
          <w:t>Suyanto &amp; Supramono, 2012</w:t>
        </w:r>
        <w:r w:rsidR="00301863" w:rsidRPr="0099292E">
          <w:rPr>
            <w:rStyle w:val="Hyperlink"/>
            <w:rFonts w:ascii="Times New Roman" w:eastAsia="Times New Roman" w:hAnsi="Times New Roman" w:cs="Times New Roman"/>
            <w:noProof/>
            <w:sz w:val="24"/>
            <w:szCs w:val="24"/>
          </w:rPr>
          <w:t>)</w:t>
        </w:r>
        <w:r w:rsidR="00301863" w:rsidRPr="0099292E">
          <w:rPr>
            <w:rStyle w:val="Hyperlink"/>
            <w:rFonts w:ascii="Times New Roman" w:eastAsia="Times New Roman" w:hAnsi="Times New Roman" w:cs="Times New Roman"/>
            <w:sz w:val="24"/>
            <w:szCs w:val="24"/>
          </w:rPr>
          <w:fldChar w:fldCharType="end"/>
        </w:r>
      </w:hyperlink>
      <w:r w:rsidR="005D7561" w:rsidRPr="0099292E">
        <w:rPr>
          <w:rFonts w:ascii="Times New Roman" w:eastAsia="Times New Roman" w:hAnsi="Times New Roman" w:cs="Times New Roman"/>
          <w:sz w:val="24"/>
          <w:szCs w:val="24"/>
        </w:rPr>
        <w:t>.</w:t>
      </w:r>
      <w:r w:rsidR="00361DD1" w:rsidRPr="0099292E">
        <w:rPr>
          <w:rFonts w:ascii="Times New Roman" w:eastAsia="Times New Roman" w:hAnsi="Times New Roman" w:cs="Times New Roman"/>
          <w:sz w:val="24"/>
          <w:szCs w:val="24"/>
        </w:rPr>
        <w:t xml:space="preserve"> </w:t>
      </w:r>
    </w:p>
    <w:p w14:paraId="3FD14DC8" w14:textId="06516013" w:rsidR="00361DD1" w:rsidRPr="00855207" w:rsidRDefault="003403EC" w:rsidP="00675AEF">
      <w:pPr>
        <w:spacing w:after="0"/>
        <w:ind w:firstLine="425"/>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At the same time, companies in Indonesia </w:t>
      </w:r>
      <w:r w:rsidR="00CF2ACB">
        <w:rPr>
          <w:rFonts w:ascii="Times New Roman" w:eastAsia="Times New Roman" w:hAnsi="Times New Roman" w:cs="Times New Roman"/>
          <w:sz w:val="24"/>
          <w:szCs w:val="24"/>
        </w:rPr>
        <w:t>face</w:t>
      </w:r>
      <w:r w:rsidRPr="0099292E">
        <w:rPr>
          <w:rFonts w:ascii="Times New Roman" w:eastAsia="Times New Roman" w:hAnsi="Times New Roman" w:cs="Times New Roman"/>
          <w:sz w:val="24"/>
          <w:szCs w:val="24"/>
        </w:rPr>
        <w:t xml:space="preserve"> pressure from investors and society to run businesses that are not only profit-orien</w:t>
      </w:r>
      <w:r w:rsidR="00B47333" w:rsidRPr="0099292E">
        <w:rPr>
          <w:rFonts w:ascii="Times New Roman" w:eastAsia="Times New Roman" w:hAnsi="Times New Roman" w:cs="Times New Roman"/>
          <w:sz w:val="24"/>
          <w:szCs w:val="24"/>
        </w:rPr>
        <w:t>ted</w:t>
      </w:r>
      <w:r w:rsidRPr="0099292E">
        <w:rPr>
          <w:rFonts w:ascii="Times New Roman" w:eastAsia="Times New Roman" w:hAnsi="Times New Roman" w:cs="Times New Roman"/>
          <w:sz w:val="24"/>
          <w:szCs w:val="24"/>
        </w:rPr>
        <w:t xml:space="preserve"> but also pay attention to sustainability and social responsibility. </w:t>
      </w:r>
      <w:r w:rsidR="00D72012" w:rsidRPr="0099292E">
        <w:rPr>
          <w:rFonts w:ascii="Times New Roman" w:eastAsia="Times New Roman" w:hAnsi="Times New Roman" w:cs="Times New Roman"/>
          <w:sz w:val="24"/>
          <w:szCs w:val="24"/>
        </w:rPr>
        <w:t xml:space="preserve">Companies </w:t>
      </w:r>
      <w:r w:rsidR="00CF2ACB">
        <w:rPr>
          <w:rFonts w:ascii="Times New Roman" w:eastAsia="Times New Roman" w:hAnsi="Times New Roman" w:cs="Times New Roman"/>
          <w:sz w:val="24"/>
          <w:szCs w:val="24"/>
        </w:rPr>
        <w:t>with</w:t>
      </w:r>
      <w:r w:rsidR="00D72012" w:rsidRPr="0099292E">
        <w:rPr>
          <w:rFonts w:ascii="Times New Roman" w:eastAsia="Times New Roman" w:hAnsi="Times New Roman" w:cs="Times New Roman"/>
          <w:sz w:val="24"/>
          <w:szCs w:val="24"/>
        </w:rPr>
        <w:t xml:space="preserve"> better Environmental, Social, and Governance (ESG) disclosures tend to be more attractive to investors and other key stakeholders. A strong relationship between the company and these stakeholders can provide financial benefits for the company in the long </w:t>
      </w:r>
      <w:r w:rsidR="00FA2ED6" w:rsidRPr="00855207">
        <w:rPr>
          <w:rFonts w:ascii="Times New Roman" w:eastAsia="Times New Roman" w:hAnsi="Times New Roman" w:cs="Times New Roman"/>
          <w:sz w:val="24"/>
          <w:szCs w:val="24"/>
        </w:rPr>
        <w:t>term</w:t>
      </w:r>
      <w:r w:rsidR="00301863" w:rsidRPr="00855207">
        <w:rPr>
          <w:rFonts w:ascii="Times New Roman" w:eastAsia="Times New Roman" w:hAnsi="Times New Roman" w:cs="Times New Roman"/>
          <w:sz w:val="24"/>
          <w:szCs w:val="24"/>
        </w:rPr>
        <w:t xml:space="preserve"> </w:t>
      </w:r>
      <w:hyperlink w:anchor="L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{"citationItems":[{"id":"ITEM-1","itemData":{"DOI":"10.1016/j.bar.2017.09.007","ISSN":"10958347","abstract":"Using a large cross-sectional dataset comprising of FTSE 350 listed firms, this study investigates whether superior environmental, social and corporate governance (ESG) disclosure affects firm value. We find a positive association between ESG disclosure level and firm value, suggesting that improved transparency and accountability and enhanced stakeholder trust play a role in boosting firm value. We also report that higher CEO power enhances the ESG disclosure effect on firm value, indicating that stakeholders associate ESG disclosure from firms with higher CEO power with greater commitment to ESG practice. This evidence is strong and consistent for three different measures of ESG-related disclosure: the ESG, environmental and social disclosure scores. The results are robust to the use of an instrumental variable approach, and the Heckman two-stage estimation procedure.","author":[{"dropping-particle":"","family":"Li","given":"Yiwei","non-dropping-particle":"","parse-names":false,"suffix":""},{"dropping-particle":"","family":"Gong","given":"Mengfeng","non-dropping-particle":"","parse-names":false,"suffix":""},{"dropping-particle":"","family":"Zhang","given":"Xiu Ye","non-dropping-particle":"","parse-names":false,"suffix":""},{"dropping-particle":"","family":"Koh","given":"Lenny","non-dropping-particle":"","parse-names":false,"suffix":""}],"container-title":"British Accounting Review","id":"ITEM-1","issue":"1","issued":{"date-parts":[["2018"]]},"page":"60-75","publisher":"Elsevier Ltd","title":"The impact of environmental, social, and governance disclosure on firm value: The role of CEO power","type":"article-journal","volume":"50"},"uris":["http://www.mendeley.com/documents/?uuid=e0edf98a-4965-49df-a1ea-5b626da2a14a"]}],"mendeley":{"formattedCitation":"(Li et al., 2018)","plainTextFormattedCitation":"(Li et al., 2018)","previouslyFormattedCitation":"(Li et al., 2018)"},"properties":{"noteIndex":0},"schema":"https://github.com/citation-style-language/schema/raw/master/csl-citation.json"}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(Li et al., 2018)</w:t>
        </w:r>
        <w:r w:rsidR="00301863" w:rsidRPr="00855207">
          <w:rPr>
            <w:rStyle w:val="Hyperlink"/>
            <w:rFonts w:ascii="Times New Roman" w:eastAsia="Times New Roman" w:hAnsi="Times New Roman" w:cs="Times New Roman"/>
            <w:sz w:val="24"/>
            <w:szCs w:val="24"/>
            <w:u w:val="none"/>
          </w:rPr>
          <w:fldChar w:fldCharType="end"/>
        </w:r>
      </w:hyperlink>
      <w:r w:rsidR="00A93ACC"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In this context, the integration of ESG principles is becoming increasingly important. Companies that apply ESG principles are also generally more transparent and accountable, thus potentially increasing tax compliance and reducing tax avoidance practices. In addition, ignoring ESG aspects can increase the risk to the company's reputation and potentially shorten the company's operational life</w:t>
      </w:r>
      <w:r w:rsidR="00301863" w:rsidRPr="00855207">
        <w:rPr>
          <w:rFonts w:ascii="Times New Roman" w:eastAsia="Times New Roman" w:hAnsi="Times New Roman" w:cs="Times New Roman"/>
          <w:sz w:val="24"/>
          <w:szCs w:val="24"/>
        </w:rPr>
        <w:t xml:space="preserve"> </w:t>
      </w:r>
      <w:hyperlink w:anchor="Fafaliou"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{"citationItems":[{"id":"ITEM-1","itemData":{"DOI":"10.1016/j.jbusres.2022.05.010","ISSN":"01482963","abstract":"This study examines the impact of environmental, social, and governance (ESG) reputational risk on a sample of listed firms’ market longevity. Using a novel panel dataset consisting of US firms over the period 2007–2019, we perform dynamic empirical analysis to quantify the underlying relationships between firms’ ESG reputational risk and market longevity. We argue that ESG reputational risk has a negative impact on firm growth opportunities, mitigating thus market longevity. The empirical findings survive several robustness checks, providing useful managerial implications for stakeholders and market participants.","author":[{"dropping-particle":"","family":"Fafaliou","given":"Irene","non-dropping-particle":"","parse-names":false,"suffix":""},{"dropping-particle":"","family":"Giaka","given":"Maria","non-dropping-particle":"","parse-names":false,"suffix":""},{"dropping-particle":"","family":"Konstantios","given":"Dimitrios","non-dropping-particle":"","parse-names":false,"suffix":""},{"dropping-particle":"","family":"Polemis","given":"Michael","non-dropping-particle":"","parse-names":false,"suffix":""}],"container-title":"Journal of Business Research","id":"ITEM-1","issued":{"date-parts":[["2022"]]},"page":"161-177","publisher":"Elsevier Inc.","title":"Firms’ ESG reputational risk and market longevity: A firm-level analysis for the United States","type":"article-journal","volume":"149"},"uris":["http://www.mendeley.com/documents/?uuid=df51b675-8248-426f-9ae2-ac9b72078155"]}],"mendeley":{"formattedCitation":"(Fafaliou et al., 2022)","plainTextFormattedCitation":"(Fafaliou et al., 2022)","previouslyFormattedCitation":"(Fafaliou et al., 2022)"},"properties":{"noteIndex":0},"schema":"https://github.com/citation-style-language/schema/raw/master/csl-citation.json"}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(Fafaliou et al., 2022)</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w:t>
      </w:r>
    </w:p>
    <w:p w14:paraId="1B7923E3" w14:textId="6A198237" w:rsidR="003403EC" w:rsidRPr="00855207" w:rsidRDefault="003403EC" w:rsidP="00675AEF">
      <w:pPr>
        <w:spacing w:after="0"/>
        <w:ind w:firstLine="425"/>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 xml:space="preserve">In the tax aspect, the Governance pillar of ESG plays an important role. Corporate governance is proven to affect the company's interest in determining tax avoidance </w:t>
      </w:r>
      <w:r w:rsidR="00275AB2" w:rsidRPr="00855207">
        <w:rPr>
          <w:rFonts w:ascii="Times New Roman" w:eastAsia="Times New Roman" w:hAnsi="Times New Roman" w:cs="Times New Roman"/>
          <w:sz w:val="24"/>
          <w:szCs w:val="24"/>
        </w:rPr>
        <w:t>behavior</w:t>
      </w:r>
      <w:r w:rsidR="00301863" w:rsidRPr="00855207">
        <w:rPr>
          <w:rFonts w:ascii="Times New Roman" w:eastAsia="Times New Roman" w:hAnsi="Times New Roman" w:cs="Times New Roman"/>
          <w:sz w:val="24"/>
          <w:szCs w:val="24"/>
        </w:rPr>
        <w:t xml:space="preserve"> </w:t>
      </w:r>
      <w:hyperlink w:anchor="Armstrong"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{"citationItems":[{"id":"ITEM-1","itemData":{"DOI":"10.1016/j.jacceco.2015.02.003","ISSN":"01654101","abstract":"We examine the link between corporate governance, managerial incentives, and corporate tax avoidance. Similar to other investment opportunities that involve risky expected cash flows, unresolved agency problems may lead managers to engage in more or less corporate tax avoidance than shareholders would otherwise prefer. Consistent with the mixed results reported in prior studies, we find no relation between various corporate governance mechanisms and tax avoidance at the conditional mean and median of the tax avoidance distribution. However, using quantile regression, we find a positive relation between board independence and financial sophistication for low levels of tax avoidance, but a negative relation for high levels of tax avoidance. These results indicate that these governance attributes have a stronger relation with more extreme levels of tax avoidance, which are more likely to be symptomatic of over- and under-investment by managers.","author":[{"dropping-particle":"","family":"Armstrong","given":"Christopher S.","non-dropping-particle":"","parse-names":false,"suffix":""},{"dropping-particle":"","family":"Blouin","given":"Jennifer L.","non-dropping-particle":"","parse-names":false,"suffix":""},{"dropping-particle":"","family":"Jagolinzer","given":"Alan D.","non-dropping-particle":"","parse-names":false,"suffix":""},{"dropping-particle":"","family":"Larcker","given":"David F.","non-dropping-particle":"","parse-names":false,"suffix":""}],"container-title":"Journal of Accounting and Economics","id":"ITEM-1","issue":"1","issued":{"date-parts":[["2015"]]},"page":"1-17","publisher":"Elsevier","title":"Corporate governance, incentives, and tax avoidance","type":"article-journal","volume":"60"},"uris":["http://www.mendeley.com/documents/?uuid=de7c1f45-57cf-4e28-802c-da346b2e3411"]}],"mendeley":{"formattedCitation":"(Armstrong et al., 2015)","plainTextFormattedCitation":"(Armstrong et al., 2015)","previouslyFormattedCitation":"(Armstrong et al., 2015)"},"properties":{"noteIndex":0},"schema":"https://github.com/citation-style-language/schema/raw/master/csl-citation.json"}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(Armstrong et al., 2015)</w:t>
        </w:r>
        <w:r w:rsidR="00301863" w:rsidRPr="00855207">
          <w:rPr>
            <w:rStyle w:val="Hyperlink"/>
            <w:rFonts w:ascii="Times New Roman" w:eastAsia="Times New Roman" w:hAnsi="Times New Roman" w:cs="Times New Roman"/>
            <w:sz w:val="24"/>
            <w:szCs w:val="24"/>
            <w:u w:val="none"/>
          </w:rPr>
          <w:fldChar w:fldCharType="end"/>
        </w:r>
      </w:hyperlink>
      <w:r w:rsidR="007205E6"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Previous research found that various aspects of governance</w:t>
      </w:r>
      <w:r w:rsidR="00CF2ACB" w:rsidRPr="00855207">
        <w:rPr>
          <w:rFonts w:ascii="Times New Roman" w:eastAsia="Times New Roman" w:hAnsi="Times New Roman" w:cs="Times New Roman"/>
          <w:sz w:val="24"/>
          <w:szCs w:val="24"/>
        </w:rPr>
        <w:t>,</w:t>
      </w:r>
      <w:r w:rsidRPr="00855207">
        <w:rPr>
          <w:rFonts w:ascii="Times New Roman" w:eastAsia="Times New Roman" w:hAnsi="Times New Roman" w:cs="Times New Roman"/>
          <w:sz w:val="24"/>
          <w:szCs w:val="24"/>
        </w:rPr>
        <w:t xml:space="preserve"> such as institutional ownership, independent commissioners, and audit committees</w:t>
      </w:r>
      <w:r w:rsidR="00CF2ACB" w:rsidRPr="00855207">
        <w:rPr>
          <w:rFonts w:ascii="Times New Roman" w:eastAsia="Times New Roman" w:hAnsi="Times New Roman" w:cs="Times New Roman"/>
          <w:sz w:val="24"/>
          <w:szCs w:val="24"/>
        </w:rPr>
        <w:t>,</w:t>
      </w:r>
      <w:r w:rsidRPr="00855207">
        <w:rPr>
          <w:rFonts w:ascii="Times New Roman" w:eastAsia="Times New Roman" w:hAnsi="Times New Roman" w:cs="Times New Roman"/>
          <w:sz w:val="24"/>
          <w:szCs w:val="24"/>
        </w:rPr>
        <w:t xml:space="preserve"> are closely related to tax avoidance</w:t>
      </w:r>
      <w:r w:rsidR="00301863" w:rsidRPr="00855207">
        <w:rPr>
          <w:rFonts w:ascii="Times New Roman" w:eastAsia="Times New Roman" w:hAnsi="Times New Roman" w:cs="Times New Roman"/>
          <w:sz w:val="24"/>
          <w:szCs w:val="24"/>
        </w:rPr>
        <w:t xml:space="preserve"> </w:t>
      </w:r>
      <w:r w:rsidR="00301863" w:rsidRPr="00855207">
        <w:rPr>
          <w:rFonts w:ascii="Times New Roman" w:eastAsia="Times New Roman" w:hAnsi="Times New Roman" w:cs="Times New Roman"/>
          <w:sz w:val="24"/>
          <w:szCs w:val="24"/>
        </w:rPr>
        <w:fldChar w:fldCharType="begin" w:fldLock="1"/>
      </w:r>
      <w:r w:rsidR="00301863" w:rsidRPr="00855207">
        <w:rPr>
          <w:rFonts w:ascii="Times New Roman" w:eastAsia="Times New Roman" w:hAnsi="Times New Roman" w:cs="Times New Roman"/>
          <w:sz w:val="24"/>
          <w:szCs w:val="24"/>
        </w:rPr>
        <w:instrText>ADDIN CSL_CITATION {"citationItems":[{"id":"ITEM-1","itemData":{"DOI":"10.1108/IJAIM-09-2024-0342","ISSN":"17589037","abstract":"Purpose: This study aims to investigate whether an audit committee chair with accounting expertise affects tax avoidance, and how real earnings management mediates this effect. Design/methodology/approach: Using data from companies listed on the Omani capital market, this study uses a mediation analysis to examine the relationships between audit committee chair expertise, real earnings management and tax avoidance. Robustness checks and cross-sectional analyses are also performed. Findings: The findings reveal that audit committee chairs with accounting expertise have an insignificant direct influence on tax avoidance. However, real earnings management significantly mediates this relationship. Specifically, an audit committee chair with accounting expertise mitigates real earnings management, which increases tax avoidance. Additionally, this study finds that an audit committee chair’s religiosity and the nature of the company (family versus nonfamily) affect the extent to which tax avoidance and earnings management practices are curbed. Practical implications: The authors provide valuable insights for practitioners, policymakers and researchers by highlighting the role of audit committee chairs with accounting expertise in influencing corporate activities, particularly in mitigating real earnings management and its subsequent impact on tax avoidance. Originality/value: This study contributes to the literature by exploring the indirect effect of audit committee chair expertise on tax avoidance through earnings management. It also adds a novel dimension by examining the influence of a chairperson’s religiosity and family ownership on these practices.","author":[{"dropping-particle":"","family":"Baatwah","given":"Saeed Rabea","non-dropping-particle":"","parse-names":false,"suffix":""},{"dropping-particle":"","family":"Mgammal","given":"Mahfoudh Hussein","non-dropping-particle":"","parse-names":false,"suffix":""},{"dropping-particle":"","family":"Aomrah","given":"Muneer Rajab","non-dropping-particle":"","parse-names":false,"suffix":""}],"container-title":"International Journal of Accounting and Information Management","id":"ITEM-1","issue":"4","issued":{"date-parts":[["2025"]]},"page":"716-740","title":"Does audit committee chair expertise combat tax avoidance in emerging markets? Direct and indirect investigation","type":"article-journal","volume":"33"},"uris":["http://www.mendeley.com/documents/?uuid=f570bfa3-04e2-4dad-876e-a9c68ab53f30"]},{"id":"ITEM-2","itemData":{"DOI":"10.1155/ddns/9924040","ISSN":"1607887X","abstract":"Using data from Chinese A-share listed companies from 2007 to 2022, we employ quantile regression to examine the impact of institutional ownership on corporate tax avoidance. The findings demonstrate that institutional ownership significantly reduces extreme short-term tax avoidance behavior by companies and also influences their long-term tax avoidance strategies. Moreover, institutional ownership effectively narrows the gap between a company’s effective tax rate and the industry average tax rate, indicating an optimizing effect on corporate tax planning. Additional analysis reveals the dynamic adjustment effect of institutional ownership on corporate tax avoidance strategies. Furthermore, the impact of institutional ownership on corporate tax avoidance significantly diminishes after controlling for the number of institutional investors. These findings contribute to a deeper understanding of the supervisory and governance role of institutional ownership in the operation of listed companies.","author":[{"dropping-particle":"","family":"Chen","given":"Caiyun","non-dropping-particle":"","parse-names":false,"suffix":""},{"dropping-particle":"","family":"Li","given":"Yingxuan","non-dropping-particle":"","parse-names":false,"suffix":""}],"container-title":"Discrete Dynamics in Nature and Society","id":"ITEM-2","issue":"1","issued":{"date-parts":[["2025"]]},"title":"The Impact of Institutional Ownership on Corporate Tax Avoidance in China: An Empirical Test Using Quantile Regression","type":"article-journal","volume":"2025"},"uris":["http://www.mendeley.com/documents/?uuid=e2eb7343-f276-40b0-b85b-26f88370e286"]},{"id":"ITEM-3","itemData":{"DOI":"10.55643/fcaptp.5.58.2024.4516","ISSN":"23108770","abstract":"This research examines how corporate governance moderates the impact of financial derivatives, executive pay, executive traits, and family ownership on tax aggressiveness in manufacturing firms listed on the Indonesia Stock Exchange between 2021 and 2023. Independent commissioners are used as a proxy for corporate governance. A total of 86 companies were included in the study using purposive sampling. The data analysis method employed was moderated regression analysis (MRA). The findings indicated that tax aggressiveness was impacted by financial derivatives, executive compensation, and executive behaviour but not by family ownership. These findings suggest that the level of family ownership does not dictate the degree of tax avoidance. Corporate governance as a moderating factor can influence executive compensation and executive behaviour but does not influence financial derivatives and family ownership concerning tax aggressiveness.","author":[{"dropping-particle":"","family":"Palalangan","given":"Carolus Askikarno","non-dropping-particle":"","parse-names":false,"suffix":""},{"dropping-particle":"","family":"Mannan","given":"Arifuddin","non-dropping-particle":"","parse-names":false,"suffix":""},{"dropping-particle":"","family":"Rura","given":"Yohanis","non-dropping-particle":"","parse-names":false,"suffix":""},{"dropping-particle":"","family":"Pontoh","given":"Grace T.","non-dropping-particle":"","parse-names":false,"suffix":""}],"container-title":"Financial and Credit Activity: Problems of Theory and Practice","id":"ITEM-3","issue":"58","issued":{"date-parts":[["2024"]]},"page":"97-110","title":"Determinants of Tax Aggressiveness With Corporate Governance As a Moderation Variable in Public Companies in Indonesia","type":"article-journal","volume":"5"},"uris":["http://www.mendeley.com/documents/?uuid=4be81f40-5c8a-414c-8239-582a5505b378"]}],"mendeley":{"formattedCitation":"(Baatwah et al., 2025; C. Chen &amp; Li, 2025; Palalangan et al., 2024)","plainTextFormattedCitation":"(Baatwah et al., 2025; C. Chen &amp; Li, 2025; Palalangan et al., 2024)","previouslyFormattedCitation":"(Baatwah et al., 2025; C. Chen &amp; Li, 2025; Palalangan et al., 2024)"},"properties":{"noteIndex":0},"schema":"https://github.com/citation-style-language/schema/raw/master/csl-citation.json"}</w:instrText>
      </w:r>
      <w:r w:rsidR="00301863" w:rsidRPr="00855207">
        <w:rPr>
          <w:rFonts w:ascii="Times New Roman" w:eastAsia="Times New Roman" w:hAnsi="Times New Roman" w:cs="Times New Roman"/>
          <w:sz w:val="24"/>
          <w:szCs w:val="24"/>
        </w:rPr>
        <w:fldChar w:fldCharType="separate"/>
      </w:r>
      <w:hyperlink w:anchor="Baatwah" w:history="1">
        <w:r w:rsidR="00301863" w:rsidRPr="00855207">
          <w:rPr>
            <w:rStyle w:val="Hyperlink"/>
            <w:rFonts w:ascii="Times New Roman" w:eastAsia="Times New Roman" w:hAnsi="Times New Roman" w:cs="Times New Roman"/>
            <w:noProof/>
            <w:sz w:val="24"/>
            <w:szCs w:val="24"/>
            <w:u w:val="none"/>
          </w:rPr>
          <w:t>(Baatwah et al., 2025</w:t>
        </w:r>
      </w:hyperlink>
      <w:r w:rsidR="00301863" w:rsidRPr="00855207">
        <w:rPr>
          <w:rFonts w:ascii="Times New Roman" w:eastAsia="Times New Roman" w:hAnsi="Times New Roman" w:cs="Times New Roman"/>
          <w:noProof/>
          <w:sz w:val="24"/>
          <w:szCs w:val="24"/>
        </w:rPr>
        <w:t xml:space="preserve">; </w:t>
      </w:r>
      <w:hyperlink w:anchor="Chen" w:history="1">
        <w:r w:rsidR="00301863" w:rsidRPr="00855207">
          <w:rPr>
            <w:rStyle w:val="Hyperlink"/>
            <w:rFonts w:ascii="Times New Roman" w:eastAsia="Times New Roman" w:hAnsi="Times New Roman" w:cs="Times New Roman"/>
            <w:noProof/>
            <w:sz w:val="24"/>
            <w:szCs w:val="24"/>
            <w:u w:val="none"/>
          </w:rPr>
          <w:t>C. Chen &amp; Li, 2025</w:t>
        </w:r>
      </w:hyperlink>
      <w:r w:rsidR="00301863" w:rsidRPr="00855207">
        <w:rPr>
          <w:rFonts w:ascii="Times New Roman" w:eastAsia="Times New Roman" w:hAnsi="Times New Roman" w:cs="Times New Roman"/>
          <w:noProof/>
          <w:sz w:val="24"/>
          <w:szCs w:val="24"/>
        </w:rPr>
        <w:t xml:space="preserve">; </w:t>
      </w:r>
      <w:hyperlink w:anchor="Palalangan" w:history="1">
        <w:r w:rsidR="00301863" w:rsidRPr="00855207">
          <w:rPr>
            <w:rStyle w:val="Hyperlink"/>
            <w:rFonts w:ascii="Times New Roman" w:eastAsia="Times New Roman" w:hAnsi="Times New Roman" w:cs="Times New Roman"/>
            <w:noProof/>
            <w:sz w:val="24"/>
            <w:szCs w:val="24"/>
            <w:u w:val="none"/>
          </w:rPr>
          <w:t>Palalangan et al., 2024)</w:t>
        </w:r>
      </w:hyperlink>
      <w:r w:rsidR="00301863" w:rsidRPr="00855207">
        <w:rPr>
          <w:rFonts w:ascii="Times New Roman" w:eastAsia="Times New Roman" w:hAnsi="Times New Roman" w:cs="Times New Roman"/>
          <w:sz w:val="24"/>
          <w:szCs w:val="24"/>
        </w:rPr>
        <w:fldChar w:fldCharType="end"/>
      </w:r>
      <w:r w:rsidR="007205E6"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 xml:space="preserve">Companies </w:t>
      </w:r>
      <w:r w:rsidR="00FA2ED6" w:rsidRPr="00855207">
        <w:rPr>
          <w:rFonts w:ascii="Times New Roman" w:eastAsia="Times New Roman" w:hAnsi="Times New Roman" w:cs="Times New Roman"/>
          <w:sz w:val="24"/>
          <w:szCs w:val="24"/>
        </w:rPr>
        <w:t xml:space="preserve">that implement strong governance practices are generally less likely to engage in tax avoidance strategies, as they take reputational risks into account </w:t>
      </w:r>
      <w:r w:rsidR="00301863" w:rsidRPr="00855207">
        <w:rPr>
          <w:rFonts w:ascii="Times New Roman" w:eastAsia="Times New Roman" w:hAnsi="Times New Roman" w:cs="Times New Roman"/>
          <w:sz w:val="24"/>
          <w:szCs w:val="24"/>
        </w:rPr>
        <w:fldChar w:fldCharType="begin" w:fldLock="1"/>
      </w:r>
      <w:r w:rsidR="00301863" w:rsidRPr="00855207">
        <w:rPr>
          <w:rFonts w:ascii="Times New Roman" w:eastAsia="Times New Roman" w:hAnsi="Times New Roman" w:cs="Times New Roman"/>
          <w:sz w:val="24"/>
          <w:szCs w:val="24"/>
        </w:rPr>
        <w:instrText>ADDIN CSL_CITATION {"citationItems":[{"id":"ITEM-1","itemData":{"DOI":"10.1016/j.jbankfin.2014.11.013","ISSN":"03784266","abstract":"We examine financial distress and tax aggressiveness spanning the global financial crisis (GFC) of 2008 and the impact of the interaction between board independence and firm-specific financial distress on tax aggressiveness. Our regression results show that both financial distress and the GFC are positively associated with tax aggressiveness. More importantly, we find that the positive association between financial distress and tax aggressiveness is magnified by the GFC. We also observe that the interaction between board independence and financial distress is positively associated with tax aggressiveness. Our results are robust to multiple measures of financial distress and tax aggressiveness.","author":[{"dropping-particle":"","family":"Richardson","given":"Grant","non-dropping-particle":"","parse-names":false,"suffix":""},{"dropping-particle":"","family":"Lanis","given":"Roman","non-dropping-particle":"","parse-names":false,"suffix":""},{"dropping-particle":"","family":"Taylor","given":"Grantley","non-dropping-particle":"","parse-names":false,"suffix":""}],"container-title":"Journal of Banking and Finance","id":"ITEM-1","issued":{"date-parts":[["2015"]]},"page":"112-129","publisher":"Elsevier B.V.","title":"Financial distress, outside directors and corporate tax aggressiveness spanning the global financial crisis: An empirical analysis","type":"article-journal","volume":"52"},"uris":["http://www.mendeley.com/documents/?uuid=68b9db8f-3a13-4692-a235-3b311a2e8c21"]},{"id":"ITEM-2","itemData":{"DOI":"10.1016/j.jaccpubpol.2024.107232","ISSN":"18732070","abstract":"We explore the association between corporate governance and tax avoidance in Mexico, a developing economy where the primary agency concern is between firm insiders and minority owners. The Mexican setting aligns with other non-U.S. settings and thus findings apply to a broad set of countries. We exploit governance reforms in Mexico and use a hand-collected governance index to show that improved corporate governance pushes tax avoidance toward a new equilibrium. In particular, we find evidence that Mexican firms with stronger governance engage in less tax avoidance and that our results are concentrated in family-owned firms and non-cross-listed firms, both of which have naturally weaker governance. Our findings suggest these governance reforms are effective in reducing tax avoidance, and we identify board independence and audit committees as mechanisms responsible for the decrease in tax avoidance.","author":[{"dropping-particle":"","family":"Kerr","given":"Jon N.","non-dropping-particle":"","parse-names":false,"suffix":""},{"dropping-particle":"","family":"Price","given":"Richard","non-dropping-particle":"","parse-names":false,"suffix":""},{"dropping-particle":"","family":"Román","given":"Francisco J.","non-dropping-particle":"","parse-names":false,"suffix":""},{"dropping-particle":"","family":"Romney","given":"Miles A.","non-dropping-particle":"","parse-names":false,"suffix":""}],"container-title":"Journal of Accounting and Public Policy","id":"ITEM-2","issue":"August","issued":{"date-parts":[["2024"]]},"title":"Corporate governance and tax avoidance: Evidence from governance reform","type":"article-journal","volume":"47"},"uris":["http://www.mendeley.com/documents/?uuid=2184a4dd-c273-465d-832d-67dc2dbdee86"]}],"mendeley":{"formattedCitation":"(Kerr et al., 2024; Richardson et al., 2015)","plainTextFormattedCitation":"(Kerr et al., 2024; Richardson et al., 2015)","previouslyFormattedCitation":"(Kerr et al., 2024; Richardson et al., 2015)"},"properties":{"noteIndex":0},"schema":"https://github.com/citation-style-language/schema/raw/master/csl-citation.json"}</w:instrText>
      </w:r>
      <w:r w:rsidR="00301863" w:rsidRPr="00855207">
        <w:rPr>
          <w:rFonts w:ascii="Times New Roman" w:eastAsia="Times New Roman" w:hAnsi="Times New Roman" w:cs="Times New Roman"/>
          <w:sz w:val="24"/>
          <w:szCs w:val="24"/>
        </w:rPr>
        <w:fldChar w:fldCharType="separate"/>
      </w:r>
      <w:hyperlink w:anchor="Kerr" w:history="1">
        <w:r w:rsidR="00301863" w:rsidRPr="00855207">
          <w:rPr>
            <w:rStyle w:val="Hyperlink"/>
            <w:rFonts w:ascii="Times New Roman" w:eastAsia="Times New Roman" w:hAnsi="Times New Roman" w:cs="Times New Roman"/>
            <w:noProof/>
            <w:sz w:val="24"/>
            <w:szCs w:val="24"/>
            <w:u w:val="none"/>
          </w:rPr>
          <w:t>(Kerr et al., 2024</w:t>
        </w:r>
      </w:hyperlink>
      <w:r w:rsidR="00301863" w:rsidRPr="00855207">
        <w:rPr>
          <w:rFonts w:ascii="Times New Roman" w:eastAsia="Times New Roman" w:hAnsi="Times New Roman" w:cs="Times New Roman"/>
          <w:noProof/>
          <w:sz w:val="24"/>
          <w:szCs w:val="24"/>
        </w:rPr>
        <w:t xml:space="preserve">; </w:t>
      </w:r>
      <w:hyperlink w:anchor="Richardson" w:history="1">
        <w:r w:rsidR="00301863" w:rsidRPr="00855207">
          <w:rPr>
            <w:rStyle w:val="Hyperlink"/>
            <w:rFonts w:ascii="Times New Roman" w:eastAsia="Times New Roman" w:hAnsi="Times New Roman" w:cs="Times New Roman"/>
            <w:noProof/>
            <w:sz w:val="24"/>
            <w:szCs w:val="24"/>
            <w:u w:val="none"/>
          </w:rPr>
          <w:t>Richardson et al., 2015)</w:t>
        </w:r>
      </w:hyperlink>
      <w:r w:rsidR="00301863" w:rsidRPr="00855207">
        <w:rPr>
          <w:rFonts w:ascii="Times New Roman" w:eastAsia="Times New Roman" w:hAnsi="Times New Roman" w:cs="Times New Roman"/>
          <w:sz w:val="24"/>
          <w:szCs w:val="24"/>
        </w:rPr>
        <w:fldChar w:fldCharType="end"/>
      </w:r>
      <w:r w:rsidR="00361DD1"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 xml:space="preserve">This is relevant because the company's reputation determines </w:t>
      </w:r>
      <w:r w:rsidR="00CF2ACB" w:rsidRPr="00855207">
        <w:rPr>
          <w:rFonts w:ascii="Times New Roman" w:eastAsia="Times New Roman" w:hAnsi="Times New Roman" w:cs="Times New Roman"/>
          <w:sz w:val="24"/>
          <w:szCs w:val="24"/>
        </w:rPr>
        <w:t>its</w:t>
      </w:r>
      <w:r w:rsidRPr="00855207">
        <w:rPr>
          <w:rFonts w:ascii="Times New Roman" w:eastAsia="Times New Roman" w:hAnsi="Times New Roman" w:cs="Times New Roman"/>
          <w:sz w:val="24"/>
          <w:szCs w:val="24"/>
        </w:rPr>
        <w:t xml:space="preserve"> sustainability.</w:t>
      </w:r>
    </w:p>
    <w:p w14:paraId="6A6A28E6" w14:textId="38DB41F0" w:rsidR="00361DD1" w:rsidRPr="00855207" w:rsidRDefault="003403EC" w:rsidP="00F428C4">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lastRenderedPageBreak/>
        <w:t xml:space="preserve">In the principle of social responsibility, companies with high Corporate Social Responsibility (CSR) quality tend to show more compliant tax </w:t>
      </w:r>
      <w:r w:rsidR="00275AB2" w:rsidRPr="0099292E">
        <w:rPr>
          <w:rFonts w:ascii="Times New Roman" w:eastAsia="Times New Roman" w:hAnsi="Times New Roman" w:cs="Times New Roman"/>
          <w:sz w:val="24"/>
          <w:szCs w:val="24"/>
        </w:rPr>
        <w:t>behavior</w:t>
      </w:r>
      <w:r w:rsidRPr="0099292E">
        <w:rPr>
          <w:rFonts w:ascii="Times New Roman" w:eastAsia="Times New Roman" w:hAnsi="Times New Roman" w:cs="Times New Roman"/>
          <w:sz w:val="24"/>
          <w:szCs w:val="24"/>
        </w:rPr>
        <w:t>, because they consider long-term reputation and stakeholder perceptions</w:t>
      </w:r>
      <w:r w:rsidR="00301863" w:rsidRPr="0099292E">
        <w:rPr>
          <w:rFonts w:ascii="Times New Roman" w:eastAsia="Times New Roman" w:hAnsi="Times New Roman" w:cs="Times New Roman"/>
          <w:sz w:val="24"/>
          <w:szCs w:val="24"/>
        </w:rPr>
        <w:t xml:space="preserve"> </w:t>
      </w:r>
      <w:hyperlink w:anchor="Ho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{"citationItems":[{"id":"ITEM-1","itemData":{"DOI":"10.2308/accr-50544","ISSN":"00014826","abstract":"We examine the empirical association between corporate social responsibility (CSR) and tax avoidance. Our findings suggest that firms with excessive irresponsible CSR activities have a higher likelihood of engaging in tax-sheltering activities and greater discretionary/permanent book-tax differences. Moreover, at the onset of FASB Interpretation No. 48, these firms have more uncertain tax positions; also, these firms' initial tax positions are likely supported by weaker facts and circumstances as indicated by their larger post-FIN 48 settlements with tax authorities and their higher likelihood of a net decrease in the overall level of uncertain tax positions after FIN 48. Collectively, these results suggest that firms with excessive irresponsible CSR activities are more aggressive in avoiding taxes, lending credence to the idea that corporate culture affects tax avoidance.","author":[{"dropping-particle":"","family":"Hoi","given":"Chun Keung","non-dropping-particle":"","parse-names":false,"suffix":""},{"dropping-particle":"","family":"Wu","given":"Qiang","non-dropping-particle":"","parse-names":false,"suffix":""},{"dropping-particle":"","family":"Zhang","given":"Hao","non-dropping-particle":"","parse-names":false,"suffix":""}],"container-title":"Accounting Review","id":"ITEM-1","issue":"6","issued":{"date-parts":[["2013"]]},"page":"2025-2059","title":"Is corporate social responsibility (CSR) associated with tax avoidance? Evidence from irresponsible CSR activities","type":"article-journal","volume":"88"},"uris":["http://www.mendeley.com/documents/?uuid=17c4ce28-ca54-4330-b934-8b033d704dae"]}],"mendeley":{"formattedCitation":"(Hoi et al., 2013)","plainTextFormattedCitation":"(Hoi et al., 2013)","previouslyFormattedCitation":"(Hoi et al., 2013)"},"properties":{"noteIndex":0},"schema":"https://github.com/citation-style-language/schema/raw/master/csl-citation.json"}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(Hoi et al., 2013)</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 xml:space="preserve">. </w:t>
      </w:r>
      <w:r w:rsidR="00D72012" w:rsidRPr="00855207">
        <w:rPr>
          <w:rFonts w:ascii="Times New Roman" w:eastAsia="Times New Roman" w:hAnsi="Times New Roman" w:cs="Times New Roman"/>
          <w:sz w:val="24"/>
          <w:szCs w:val="24"/>
        </w:rPr>
        <w:t>However, the implementation of CSR may not only generate positive impacts but also introduce potential biases</w:t>
      </w:r>
      <w:r w:rsidRPr="00855207">
        <w:rPr>
          <w:rFonts w:ascii="Times New Roman" w:eastAsia="Times New Roman" w:hAnsi="Times New Roman" w:cs="Times New Roman"/>
          <w:sz w:val="24"/>
          <w:szCs w:val="24"/>
        </w:rPr>
        <w:t>. It is not uncommon for companies to use CSR programs to cover up various unethical actions, including tax aggressiveness</w:t>
      </w:r>
      <w:r w:rsidR="00301863" w:rsidRPr="00855207">
        <w:rPr>
          <w:rFonts w:ascii="Times New Roman" w:eastAsia="Times New Roman" w:hAnsi="Times New Roman" w:cs="Times New Roman"/>
          <w:sz w:val="24"/>
          <w:szCs w:val="24"/>
        </w:rPr>
        <w:t xml:space="preserve"> </w:t>
      </w:r>
      <w:hyperlink w:anchor="Yunistiyan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{"citationItems":[{"id":"ITEM-1","itemData":{"DOI":"10.23887/jia.v2i1.9610","ISSN":"2527-4090","abstract":"ABSTRAK Penelitian ini bertujuan untuk menguji pengaruh corporate social responsibility dan agresivitas pelaporan keuangan terhadap agresivitas pajak dengan good corporate governance sebagai variabel pemoderasi. Variabel Good Corporate Governance yang digunakan pada penelitian ini diproksikan dengan proporsi komisaris independen dan komite audit. Penelitian ini berfokus pada perusahaan manufaktur yang terdaftar di Bursa Efek Indonesia tahun 20142015. Metode sampling yang digunakan adalah purposive sampling dengan sampel dari 64 perusahaan selama periode pengamatan 2 tahun berturut-turut, sehingga menghasilkan 128 sampel. Teknik analisis yang digunakan untuk pengujian adalah regresi linier berganda berbantuan aplikasi statistika SPSS 22.0. Hasil penelitian menunjukkan bahwa corporate social responsibility dan agresivitas pelaporan keuangan berpengaruh positif terhadap agresivitas pajak. Sementara itu, proporsi komisaris independen dan komite audit tidak berpengaruh dalam memoderasi hubungan agresivitas pelaporan keuangan dengan agresivitas pajak.Kata kunci: corporate social responsibility; agresivitas pelaporan keuangan; agresivitas pajak; komisaris independen; komite audit ABSTRACT This study aimed to examine the effect corporate social responsibility and financial reporting aggressiveness towards tax aggressiveness with good corporate governance as moderating variable. Good corporate governance which is proxied by board of independence commissioner proportion and audit committee. This study are focusing on manufacturing companies listed in Indonesia Stock Exchange in the period 2014-2015. The sampling method used was purposive sampling with a sample of 64 companies during the observation period of 2 years in a row so as to produce a total of 128 samples. Analysis technique used was multiple regression analysis by SPSS 22.0. The result reveal corporate social responsibility and financial reporting aggresiveness degree of tax aggresiveness. Board of independence commissioners and audit committee as the moderating variable have no influence between financial reporting aggresiveness and tax aggresiveness. Keywords: corporate social responsibility, financial reporting aggresiveness, tax aggresiveness, board of independence commissioner, audit committee ","author":[{"dropping-particle":"","family":"Yunistiyani","given":"Vina","non-dropping-particle":"","parse-names":false,"suffix":""},{"dropping-particle":"","family":"Tahar","given":"Afrizal","non-dropping-particle":"","parse-names":false,"suffix":""}],"container-title":"Jurnal Ilmiah Akuntansi","id":"ITEM-1","issue":"1","issued":{"date-parts":[["2017"]]},"page":"1-31","title":"CORPORATE SOCIAL RESPONSIBILITY DAN AGRESIVITAS PELAPORAN KEUANGAN TERHADAP AGRESIVITAS PAJAK DENGAN GOOD CORPORATE GOVERNANCE SEBAGAI PEMODERASI (Studi pada Perusahaan Manufaktur di Bursa Efek Indonesia)","type":"article-journal","volume":"2"},"uris":["http://www.mendeley.com/documents/?uuid=9ac8d21b-00c8-45c4-b12d-0f198d868aa6"]}],"mendeley":{"formattedCitation":"(Yunistiyani &amp; Tahar, 2017)","plainTextFormattedCitation":"(Yunistiyani &amp; Tahar, 2017)","previouslyFormattedCitation":"(Yunistiyani &amp; Tahar, 2017)"},"properties":{"noteIndex":0},"schema":"https://github.com/citation-style-language/schema/raw/master/csl-citation.json"}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(Yunistiyani &amp; Tahar, 2017)</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w:t>
      </w:r>
      <w:r w:rsidR="000A2D26" w:rsidRPr="00855207">
        <w:rPr>
          <w:rFonts w:ascii="Times New Roman" w:eastAsia="Times New Roman" w:hAnsi="Times New Roman" w:cs="Times New Roman"/>
          <w:sz w:val="24"/>
          <w:szCs w:val="24"/>
        </w:rPr>
        <w:tab/>
      </w:r>
    </w:p>
    <w:p w14:paraId="05AFF725" w14:textId="72F87398" w:rsidR="00361DD1" w:rsidRPr="00855207" w:rsidRDefault="003403EC" w:rsidP="00F428C4">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CSR is also a form of responsibility to the environment. CSR has become a trend that attracts investors in considering investments and governments in formulating </w:t>
      </w:r>
      <w:r w:rsidRPr="00855207">
        <w:rPr>
          <w:rFonts w:ascii="Times New Roman" w:eastAsia="Times New Roman" w:hAnsi="Times New Roman" w:cs="Times New Roman"/>
          <w:sz w:val="24"/>
          <w:szCs w:val="24"/>
        </w:rPr>
        <w:t>policies</w:t>
      </w:r>
      <w:r w:rsidR="00301863" w:rsidRPr="00855207">
        <w:rPr>
          <w:rFonts w:ascii="Times New Roman" w:eastAsia="Times New Roman" w:hAnsi="Times New Roman" w:cs="Times New Roman"/>
          <w:sz w:val="24"/>
          <w:szCs w:val="24"/>
        </w:rPr>
        <w:t xml:space="preserve"> </w:t>
      </w:r>
      <w:hyperlink w:anchor="Jiang"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{"citationItems":[{"id":"ITEM-1","itemData":{"DOI":"10.1016/j.techfore.2022.121646","ISSN":"00401625","abstract":"In practice, mandatory corporate social responsibility (CSR) disclosure can lead to lower profitability and increased corporate cost burdens. In this research, we endeavor to examine how companies navigate the adverse effects of mandatory CSR disclosure from the perspective of corporate tax avoidance. Using data from Chinese listed firms, we examine the effect of mandatory CSR disclosure on corporate tax avoidance, applying propensity score matching and difference-in-differences methods. The results indicate that the implementation of mandatory CSR disclosure leads to a significant increase in corporate tax avoidance. The findings are robust to a battery of tests and are more prominent for firms with weaker profitability and cost transferability, and those that are more likely to be affected by the disclosure mandate (i.e., polluting firms, firms with weak social responsibility, firms in high disclosure regions, and firms in high minimum wage regions). In summary, our findings are consistent with the view that mandatory CSR disclosure alters corporate behavior and creates positive externalities for society at the expense of tax payments to the government.","author":[{"dropping-particle":"","family":"Jiang","given":"Wei","non-dropping-particle":"","parse-names":false,"suffix":""},{"dropping-particle":"","family":"Zhang","given":"Cheng","non-dropping-particle":"","parse-names":false,"suffix":""},{"dropping-particle":"","family":"Si","given":"Chengyu","non-dropping-particle":"","parse-names":false,"suffix":""}],"container-title":"Technological Forecasting and Social Change","id":"ITEM-1","issue":"2318","issued":{"date-parts":[["2022"]]},"page":"121646","publisher":"Elsevier Inc.","title":"The real effect of mandatory CSR disclosure: Evidence of corporate tax avoidance","type":"article-journal","volume":"179"},"uris":["http://www.mendeley.com/documents/?uuid=80cd7df1-8468-4674-8577-02e6b17007dc"]}],"mendeley":{"formattedCitation":"(Jiang et al., 2022)","plainTextFormattedCitation":"(Jiang et al., 2022)","previouslyFormattedCitation":"(Jiang et al., 2022)"},"properties":{"noteIndex":0},"schema":"https://github.com/citation-style-language/schema/raw/master/csl-citation.json"}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(Jiang et al., 2022)</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w:t>
      </w:r>
      <w:r w:rsidR="00403847" w:rsidRPr="00855207">
        <w:rPr>
          <w:rFonts w:ascii="Times New Roman" w:eastAsia="Times New Roman" w:hAnsi="Times New Roman" w:cs="Times New Roman"/>
          <w:sz w:val="24"/>
          <w:szCs w:val="24"/>
        </w:rPr>
        <w:t xml:space="preserve"> </w:t>
      </w:r>
      <w:r w:rsidR="00790624" w:rsidRPr="00855207">
        <w:rPr>
          <w:rFonts w:ascii="Times New Roman" w:eastAsia="Times New Roman" w:hAnsi="Times New Roman" w:cs="Times New Roman"/>
          <w:sz w:val="24"/>
          <w:szCs w:val="24"/>
        </w:rPr>
        <w:t>In Indonesia, CSR has also gained increasing attention from companies, as reflected in media coverage</w:t>
      </w:r>
      <w:r w:rsidRPr="00855207">
        <w:rPr>
          <w:rFonts w:ascii="Times New Roman" w:eastAsia="Times New Roman" w:hAnsi="Times New Roman" w:cs="Times New Roman"/>
          <w:sz w:val="24"/>
          <w:szCs w:val="24"/>
        </w:rPr>
        <w:t xml:space="preserve">. </w:t>
      </w:r>
      <w:r w:rsidR="00D72012" w:rsidRPr="00855207">
        <w:rPr>
          <w:rFonts w:ascii="Times New Roman" w:eastAsia="Times New Roman" w:hAnsi="Times New Roman" w:cs="Times New Roman"/>
          <w:sz w:val="24"/>
          <w:szCs w:val="24"/>
        </w:rPr>
        <w:t xml:space="preserve">Nevertheless, the phenomena of </w:t>
      </w:r>
      <w:r w:rsidR="006C4726" w:rsidRPr="00855207">
        <w:rPr>
          <w:rFonts w:ascii="Times New Roman" w:eastAsia="Times New Roman" w:hAnsi="Times New Roman" w:cs="Times New Roman"/>
          <w:sz w:val="24"/>
          <w:szCs w:val="24"/>
        </w:rPr>
        <w:t>“</w:t>
      </w:r>
      <w:r w:rsidR="00D72012" w:rsidRPr="00855207">
        <w:rPr>
          <w:rFonts w:ascii="Times New Roman" w:eastAsia="Times New Roman" w:hAnsi="Times New Roman" w:cs="Times New Roman"/>
          <w:sz w:val="24"/>
          <w:szCs w:val="24"/>
        </w:rPr>
        <w:t>greenwashing</w:t>
      </w:r>
      <w:r w:rsidR="006C4726" w:rsidRPr="00855207">
        <w:rPr>
          <w:rFonts w:ascii="Times New Roman" w:eastAsia="Times New Roman" w:hAnsi="Times New Roman" w:cs="Times New Roman"/>
          <w:sz w:val="24"/>
          <w:szCs w:val="24"/>
        </w:rPr>
        <w:t>”</w:t>
      </w:r>
      <w:r w:rsidR="00D72012" w:rsidRPr="00855207">
        <w:rPr>
          <w:rFonts w:ascii="Times New Roman" w:eastAsia="Times New Roman" w:hAnsi="Times New Roman" w:cs="Times New Roman"/>
          <w:sz w:val="24"/>
          <w:szCs w:val="24"/>
        </w:rPr>
        <w:t xml:space="preserve"> and </w:t>
      </w:r>
      <w:r w:rsidR="006C4726" w:rsidRPr="00855207">
        <w:rPr>
          <w:rFonts w:ascii="Times New Roman" w:eastAsia="Times New Roman" w:hAnsi="Times New Roman" w:cs="Times New Roman"/>
          <w:sz w:val="24"/>
          <w:szCs w:val="24"/>
        </w:rPr>
        <w:t>“</w:t>
      </w:r>
      <w:r w:rsidR="00D72012" w:rsidRPr="00855207">
        <w:rPr>
          <w:rFonts w:ascii="Times New Roman" w:eastAsia="Times New Roman" w:hAnsi="Times New Roman" w:cs="Times New Roman"/>
          <w:sz w:val="24"/>
          <w:szCs w:val="24"/>
        </w:rPr>
        <w:t>social-washing</w:t>
      </w:r>
      <w:r w:rsidR="006C4726" w:rsidRPr="00855207">
        <w:rPr>
          <w:rFonts w:ascii="Times New Roman" w:eastAsia="Times New Roman" w:hAnsi="Times New Roman" w:cs="Times New Roman"/>
          <w:sz w:val="24"/>
          <w:szCs w:val="24"/>
        </w:rPr>
        <w:t>”</w:t>
      </w:r>
      <w:r w:rsidR="00D72012" w:rsidRPr="00855207">
        <w:rPr>
          <w:rFonts w:ascii="Times New Roman" w:eastAsia="Times New Roman" w:hAnsi="Times New Roman" w:cs="Times New Roman"/>
          <w:sz w:val="24"/>
          <w:szCs w:val="24"/>
        </w:rPr>
        <w:t xml:space="preserve"> warrant attention, as firms may use ESG programs as a form of pseudo-legitimacy to obscure tax avoidance practices</w:t>
      </w:r>
      <w:r w:rsidRPr="00855207">
        <w:rPr>
          <w:rFonts w:ascii="Times New Roman" w:eastAsia="Times New Roman" w:hAnsi="Times New Roman" w:cs="Times New Roman"/>
          <w:sz w:val="24"/>
          <w:szCs w:val="24"/>
        </w:rPr>
        <w:t xml:space="preserve">. Companies often run CSR </w:t>
      </w:r>
      <w:r w:rsidR="00275AB2" w:rsidRPr="00855207">
        <w:rPr>
          <w:rFonts w:ascii="Times New Roman" w:eastAsia="Times New Roman" w:hAnsi="Times New Roman" w:cs="Times New Roman"/>
          <w:sz w:val="24"/>
          <w:szCs w:val="24"/>
        </w:rPr>
        <w:t>programs</w:t>
      </w:r>
      <w:r w:rsidRPr="00855207">
        <w:rPr>
          <w:rFonts w:ascii="Times New Roman" w:eastAsia="Times New Roman" w:hAnsi="Times New Roman" w:cs="Times New Roman"/>
          <w:sz w:val="24"/>
          <w:szCs w:val="24"/>
        </w:rPr>
        <w:t xml:space="preserve"> to strengthen their public reputation. However, they may simultaneously implement tax avoidance practices that ultimately </w:t>
      </w:r>
      <w:r w:rsidR="00CF2ACB" w:rsidRPr="00855207">
        <w:rPr>
          <w:rFonts w:ascii="Times New Roman" w:eastAsia="Times New Roman" w:hAnsi="Times New Roman" w:cs="Times New Roman"/>
          <w:sz w:val="24"/>
          <w:szCs w:val="24"/>
        </w:rPr>
        <w:t>contradict</w:t>
      </w:r>
      <w:r w:rsidRPr="00855207">
        <w:rPr>
          <w:rFonts w:ascii="Times New Roman" w:eastAsia="Times New Roman" w:hAnsi="Times New Roman" w:cs="Times New Roman"/>
          <w:sz w:val="24"/>
          <w:szCs w:val="24"/>
        </w:rPr>
        <w:t xml:space="preserve"> the image of social responsibility displayed and the business motivation behind it</w:t>
      </w:r>
      <w:r w:rsidR="00301863" w:rsidRPr="00855207">
        <w:rPr>
          <w:rFonts w:ascii="Times New Roman" w:eastAsia="Times New Roman" w:hAnsi="Times New Roman" w:cs="Times New Roman"/>
          <w:sz w:val="24"/>
          <w:szCs w:val="24"/>
        </w:rPr>
        <w:t xml:space="preserve"> </w:t>
      </w:r>
      <w:hyperlink w:anchor="Nerantzidis"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dsef.2024.100021","ISSN":"2950-5240","author":[{"dropping-particle":"","family":"Nerantzidis","given":"Michail","non-dropping-particle":"","parse-names":false,"suffix":""},{"dropping-particle":"","family":"Persakis","given":"Antonios","non-dropping-particle":"","parse-names":false,"suffix":""},{"dropping-particle":"","family":"Tzeremes","given":"Panayiotis","non-dropping-particle":"","parse-names":false,"suffix":""}],"container-title":"Development and Sustainability in Economics and Finance","id":"ITEM-1","issue":"July","issued":{"date-parts":[["2024"]]},"publisher":"Elsevier B.V.","title":"Development and Sustainability in Economics and Finance Tax avoidance, CSR performance and CEO characteristics : Evidence from developed and developing countries","type":"article-journal","volume":"2-4"},"uris":["http://www.mendeley.com/documents/?uuid=1d7d1e39-e38c-43f1-bf75-c4b888ae734f"]}],"mendeley":{"formattedCitation":"(Nerantzidis et al., 2024)","plainTextFormattedCitation":"(Nerantzidis et al., 2024)","previouslyFormattedCitation":"(Nerantzidis et al., 2024)"},"properties":{"noteIndex":0},"schema":"https://github.com/citation-style-language/schema/raw/master/csl-citation.json"}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(Nerantzidis et al., 2024)</w:t>
        </w:r>
        <w:r w:rsidR="00301863" w:rsidRPr="00855207">
          <w:rPr>
            <w:rStyle w:val="Hyperlink"/>
            <w:rFonts w:ascii="Times New Roman" w:eastAsia="Times New Roman" w:hAnsi="Times New Roman" w:cs="Times New Roman"/>
            <w:sz w:val="24"/>
            <w:szCs w:val="24"/>
            <w:u w:val="none"/>
          </w:rPr>
          <w:fldChar w:fldCharType="end"/>
        </w:r>
      </w:hyperlink>
      <w:r w:rsidR="00E24871" w:rsidRPr="00855207">
        <w:rPr>
          <w:rFonts w:ascii="Times New Roman" w:eastAsia="Times New Roman" w:hAnsi="Times New Roman" w:cs="Times New Roman"/>
          <w:sz w:val="24"/>
          <w:szCs w:val="24"/>
        </w:rPr>
        <w:t>.</w:t>
      </w:r>
    </w:p>
    <w:p w14:paraId="0DCFC8A2" w14:textId="3B10866F" w:rsidR="00F34F20" w:rsidRPr="0099292E" w:rsidRDefault="00F34F20" w:rsidP="00F428C4">
      <w:pP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In previous studies that focused on Indonesia, the elements of ESG have been recognized as non-financial factors that are often associated with tax avoidance. However, the findings remain inconsistent. Moreover, prior research has generally examined the relationship between ESG and tax avoidance only partially, focusing on a single ESG element such as political connections</w:t>
      </w:r>
      <w:r w:rsidR="00301863" w:rsidRPr="00855207">
        <w:rPr>
          <w:rFonts w:ascii="Times New Roman" w:eastAsia="Times New Roman" w:hAnsi="Times New Roman" w:cs="Times New Roman"/>
          <w:sz w:val="24"/>
          <w:szCs w:val="24"/>
        </w:rPr>
        <w:t xml:space="preserve"> </w:t>
      </w:r>
      <w:r w:rsidR="00301863" w:rsidRPr="00855207">
        <w:rPr>
          <w:rFonts w:ascii="Times New Roman" w:eastAsia="Times New Roman" w:hAnsi="Times New Roman" w:cs="Times New Roman"/>
          <w:sz w:val="24"/>
          <w:szCs w:val="24"/>
        </w:rPr>
        <w:fldChar w:fldCharType="begin" w:fldLock="1"/>
      </w:r>
      <w:r w:rsidR="00301863" w:rsidRPr="00855207">
        <w:rPr>
          <w:rFonts w:ascii="Times New Roman" w:eastAsia="Times New Roman" w:hAnsi="Times New Roman" w:cs="Times New Roman"/>
          <w:sz w:val="24"/>
          <w:szCs w:val="24"/>
        </w:rPr>
        <w:instrText>ADDIN CSL_CITATION {"citationItems":[{"id":"ITEM-1","itemData":{"DOI":"10.1016/j.heliyon.2022.e10155","ISSN":"24058440","abstract":"This study aims to obtain empirical evidence of the effect of political connections and investment opportunity sets on tax avoidance. In addition, the use of corporate social responsibility in this study as a moderating variable aims to examine the implementation of sustainability by companies, which is a global issue of concern to many parties today. Corporate social responsibility has rarely been used in previous studies as a moderating variable in examining the relationships between investment opportunity sets and tax avoidance and political connections and tax avoidance. This study analyzed 42 manufacturing companies listed on the Indonesia Stock Exchange from 2014 to 2019, selected through a purposive sampling method to produce 252 observations. This study used a quantitative method with two-panel data regression models, namely the model and without moderation. The results suggest that political connections and investment opportunity sets positively affect tax avoidance. Meanwhile, corporate social responsibility disclosure can weaken the positive effect of political connections and investment opportunity sets on tax avoidance. This study indicates that the Indonesia Tax Authority should include sustainability issues in refining existing tax policies.","author":[{"dropping-particle":"","family":"Firmansyah","given":"Amrie","non-dropping-particle":"","parse-names":false,"suffix":""},{"dropping-particle":"","family":"Arham","given":"Amardianto","non-dropping-particle":"","parse-names":false,"suffix":""},{"dropping-particle":"","family":"Qadri","given":"Resi Ariyasa","non-dropping-particle":"","parse-names":false,"suffix":""},{"dropping-particle":"","family":"Wibowo","given":"Puji","non-dropping-particle":"","parse-names":false,"suffix":""},{"dropping-particle":"","family":"Irawan","given":"Ferry","non-dropping-particle":"","parse-names":false,"suffix":""},{"dropping-particle":"","family":"Kustiani","given":"Nur Aisyah","non-dropping-particle":"","parse-names":false,"suffix":""},{"dropping-particle":"","family":"Wijaya","given":"Suparna","non-dropping-particle":"","parse-names":false,"suffix":""},{"dropping-particle":"","family":"Andriani","given":"Arifah Fibri","non-dropping-particle":"","parse-names":false,"suffix":""},{"dropping-particle":"","family":"Arfiansyah","given":"Zef","non-dropping-particle":"","parse-names":false,"suffix":""},{"dropping-particle":"","family":"Kurniawati","given":"Lestari","non-dropping-particle":"","parse-names":false,"suffix":""},{"dropping-particle":"","family":"Mabrur","given":"Azas","non-dropping-particle":"","parse-names":false,"suffix":""},{"dropping-particle":"","family":"Dinarjito","given":"Agung","non-dropping-particle":"","parse-names":false,"suffix":""},{"dropping-particle":"","family":"Kusumawati","given":"Rahayu","non-dropping-particle":"","parse-names":false,"suffix":""},{"dropping-particle":"","family":"Mahrus","given":"Moh Luthfi","non-dropping-particle":"","parse-names":false,"suffix":""}],"container-title":"Heliyon","id":"ITEM-1","issue":"8","issued":{"date-parts":[["2022"]]},"title":"Political connections, investment opportunity sets, tax avoidance: does corporate social responsibility disclosure in Indonesia have a role?","type":"article-journal","volume":"8"},"uris":["http://www.mendeley.com/documents/?uuid=1c869c3f-517f-4c84-9f08-415a167a1492"]},{"id":"ITEM-2","itemData":{"DOI":"10.22495/cocv13i3c2p2","ISSN":"18103057","abstract":"This study investigated the relationship between political connections and tax avoidance behaviour in Indonesian listed-firms in 2007-2013 year period. Some firms created links to government for obtaining benefits in various variables such import licensing, taxes, and supply-funds. We have manually managed to identify politically connected-firms from the annual reports and measure tax avoidance by using Cash Effective Tax Rate (CETR) as the proxy. Our observation indicated that politically connected-firms paid lower corporate income tax than non-politically connected-firms. Our study also examined how the status of State Owned Enterprise (SOE) correlates to tax avoidance. Firms hiring politically connected independent commissioners (INDCOM) in this study were more likely to show tax avoidance behavior. However, we have no strong evidence to prove our proposition regarding the type of political connections.","author":[{"dropping-particle":"","family":"Sudibyo","given":"Yudha Aryo","non-dropping-particle":"","parse-names":false,"suffix":""},{"dropping-particle":"","family":"Jianfu","given":"Sun","non-dropping-particle":"","parse-names":false,"suffix":""}],"container-title":"Corporate Ownership and Control","id":"ITEM-2","issue":"3continued2","issued":{"date-parts":[["2016"]]},"page":"279-283","title":"Political connections, state owned enterprises and tax avoidance: An evidence from Indonesia","type":"article-journal","volume":"13"},"uris":["http://www.mendeley.com/documents/?uuid=3d182632-38be-4f3e-9925-cd1bb0bbabda"]}],"mendeley":{"formattedCitation":"(Firmansyah et al., 2022; Sudibyo &amp; Jianfu, 2016)","plainTextFormattedCitation":"(Firmansyah et al., 2022; Sudibyo &amp; Jianfu, 2016)","previouslyFormattedCitation":"(Firmansyah et al., 2022; Sudibyo &amp; Jianfu, 2016)"},"properties":{"noteIndex":0},"schema":"https://github.com/citation-style-language/schema/raw/master/csl-citation.json"}</w:instrText>
      </w:r>
      <w:r w:rsidR="00301863" w:rsidRPr="00855207">
        <w:rPr>
          <w:rFonts w:ascii="Times New Roman" w:eastAsia="Times New Roman" w:hAnsi="Times New Roman" w:cs="Times New Roman"/>
          <w:sz w:val="24"/>
          <w:szCs w:val="24"/>
        </w:rPr>
        <w:fldChar w:fldCharType="separate"/>
      </w:r>
      <w:hyperlink w:anchor="Firmansyah" w:history="1">
        <w:r w:rsidR="00301863" w:rsidRPr="00855207">
          <w:rPr>
            <w:rStyle w:val="Hyperlink"/>
            <w:rFonts w:ascii="Times New Roman" w:eastAsia="Times New Roman" w:hAnsi="Times New Roman" w:cs="Times New Roman"/>
            <w:noProof/>
            <w:sz w:val="24"/>
            <w:szCs w:val="24"/>
            <w:u w:val="none"/>
          </w:rPr>
          <w:t>(Firmansyah et al., 2022</w:t>
        </w:r>
      </w:hyperlink>
      <w:r w:rsidR="00301863" w:rsidRPr="00855207">
        <w:rPr>
          <w:rFonts w:ascii="Times New Roman" w:eastAsia="Times New Roman" w:hAnsi="Times New Roman" w:cs="Times New Roman"/>
          <w:noProof/>
          <w:sz w:val="24"/>
          <w:szCs w:val="24"/>
        </w:rPr>
        <w:t xml:space="preserve">; </w:t>
      </w:r>
      <w:hyperlink w:anchor="Sudibyo" w:history="1">
        <w:r w:rsidR="00301863" w:rsidRPr="00855207">
          <w:rPr>
            <w:rStyle w:val="Hyperlink"/>
            <w:rFonts w:ascii="Times New Roman" w:eastAsia="Times New Roman" w:hAnsi="Times New Roman" w:cs="Times New Roman"/>
            <w:noProof/>
            <w:sz w:val="24"/>
            <w:szCs w:val="24"/>
            <w:u w:val="none"/>
          </w:rPr>
          <w:t>Sudibyo &amp; Jianfu, 2016)</w:t>
        </w:r>
      </w:hyperlink>
      <w:r w:rsidR="00301863" w:rsidRPr="00855207">
        <w:rPr>
          <w:rFonts w:ascii="Times New Roman" w:eastAsia="Times New Roman" w:hAnsi="Times New Roman" w:cs="Times New Roman"/>
          <w:sz w:val="24"/>
          <w:szCs w:val="24"/>
        </w:rPr>
        <w:fldChar w:fldCharType="end"/>
      </w:r>
      <w:r w:rsidR="00301863" w:rsidRPr="00855207">
        <w:rPr>
          <w:rFonts w:ascii="Times New Roman" w:eastAsia="Times New Roman" w:hAnsi="Times New Roman" w:cs="Times New Roman"/>
          <w:sz w:val="24"/>
          <w:szCs w:val="24"/>
        </w:rPr>
        <w:t>,</w:t>
      </w:r>
      <w:r w:rsidRPr="00855207">
        <w:rPr>
          <w:rFonts w:ascii="Times New Roman" w:eastAsia="Times New Roman" w:hAnsi="Times New Roman" w:cs="Times New Roman"/>
          <w:sz w:val="24"/>
          <w:szCs w:val="24"/>
        </w:rPr>
        <w:t xml:space="preserve"> managerial and institutional ownership</w:t>
      </w:r>
      <w:r w:rsidR="00301863" w:rsidRPr="00855207">
        <w:rPr>
          <w:rFonts w:ascii="Times New Roman" w:eastAsia="Times New Roman" w:hAnsi="Times New Roman" w:cs="Times New Roman"/>
          <w:sz w:val="24"/>
          <w:szCs w:val="24"/>
        </w:rPr>
        <w:t xml:space="preserve"> </w:t>
      </w:r>
      <w:r w:rsidR="00301863" w:rsidRPr="00855207">
        <w:rPr>
          <w:rFonts w:ascii="Times New Roman" w:eastAsia="Times New Roman" w:hAnsi="Times New Roman" w:cs="Times New Roman"/>
          <w:sz w:val="24"/>
          <w:szCs w:val="24"/>
        </w:rPr>
        <w:fldChar w:fldCharType="begin" w:fldLock="1"/>
      </w:r>
      <w:r w:rsidR="00301863" w:rsidRPr="00855207">
        <w:rPr>
          <w:rFonts w:ascii="Times New Roman" w:eastAsia="Times New Roman" w:hAnsi="Times New Roman" w:cs="Times New Roman"/>
          <w:sz w:val="24"/>
          <w:szCs w:val="24"/>
        </w:rPr>
        <w:instrText>ADDIN CSL_CITATION {"citationItems":[{"id":"ITEM-1","itemData":{"DOI":"10.20961/jab.v23i1.1005","ISSN":"1412-0852","abstract":"Company owners are responsible for monitoring and making policies, including tax avoidance policies. This study aims to establish empirical evidence on the effect of ownership identities such as family ownership, institutional ownership, managerial ownership, and government ownership on tax avoidance practices. The purposive sampling method was employed from datasets covering non-financial firms listed on the Indonesian Stock Exchange during 2018-2021 leaving a total sample of 352 companies for the samples. Findings indicate that high family ownership in civil law jurisdictions encourages tax avoidance. Meanwhile, tax avoidance tendencies are reduced because institutional owners' breadth of knowledge and access to information prevents them from acting impulsively. Managerial ownership makes managers both agents and principles, thus suppressing short-term opportunistic desires, including tax avoidance practices. Lastly, no evidence that government ownership significantly affects tax avoidance practices.","author":[{"dropping-particle":"","family":"Arifin","given":"Yusuf Nur","non-dropping-particle":"","parse-names":false,"suffix":""},{"dropping-particle":"","family":"Nurrahmawati","given":"An","non-dropping-particle":"","parse-names":false,"suffix":""},{"dropping-particle":"","family":"Perwitasari","given":"Dian","non-dropping-particle":"","parse-names":false,"suffix":""}],"container-title":"Jurnal Akuntansi dan Bisnis","id":"ITEM-1","issue":"1","issued":{"date-parts":[["2023"]]},"page":"44","title":"Does Ownership Structure Affect Tax Avoidance?","type":"article-journal","volume":"23"},"uris":["http://www.mendeley.com/documents/?uuid=003b8f6e-bf99-4810-a322-a1099a2beb20"]},{"id":"ITEM-2","itemData":{"DOI":"10.53894/ijirss.v5i3.505","ISSN":"26176548","abstract":"Tax avoidance is an action taken by company management so that corporate tax payments are smaller than they should be. The practice of tax avoidance often occurs in companies in Indonesia related to the tax rate for business entities which is considered too high. This study was conducted to establish if the factors of corporate governance, sales growth and leverage have an impact on the practice of tax avoidance. Corporate governance in this study is divided into five, namely independent board of commissioners, institutional ownership, managerial ownership, audit committee, and audit quality. The sample in this study is mining companies listed on the Indonesia Stock Exchange. The method used to take the sample was purposive sampling. This study used multiple linear regression. The results showed that independent board of commissioners, institutional ownership, audit quality, sales growth, and leverage had no effect on tax avoidance, whereas managerial ownership and audit committee had a positive effect on tax avoidance. This shows the impasse of corporate governance in preventing tax avoidance and even the audit committee actually encourages tax avoidance. The implication of this research is that it is very important to have strict supervision of mining companies in Indonesia in respect of tax avoidance practices by relevant agencies such as the tax office so that it has an impact on the need for technical skills for tax officers to detect tax evasion by companies.","author":[{"dropping-particle":"","family":"Handoyo","given":"Sigit","non-dropping-particle":"","parse-names":false,"suffix":""},{"dropping-particle":"","family":"Wicaksono","given":"Aditya Pandu","non-dropping-particle":"","parse-names":false,"suffix":""},{"dropping-particle":"","family":"Darmesti","given":"Atidira","non-dropping-particle":"","parse-names":false,"suffix":""}],"container-title":"International Journal of Innovative Research and Scientific Studies","id":"ITEM-2","issue":"3","issued":{"date-parts":[["2022"]]},"page":"184-201","title":"Does Corporate Governance Support Tax Avoidance Practice in Indonesia?","type":"article-journal","volume":"5"},"uris":["http://www.mendeley.com/documents/?uuid=90ec7767-bba3-4f80-a2e4-e86f407b9e55"]}],"mendeley":{"formattedCitation":"(Arifin et al., 2023; Handoyo et al., 2022)","plainTextFormattedCitation":"(Arifin et al., 2023; Handoyo et al., 2022)","previouslyFormattedCitation":"(Arifin et al., 2023; Handoyo et al., 2022)"},"properties":{"noteIndex":0},"schema":"https://github.com/citation-style-language/schema/raw/master/csl-citation.json"}</w:instrText>
      </w:r>
      <w:r w:rsidR="00301863" w:rsidRPr="00855207">
        <w:rPr>
          <w:rFonts w:ascii="Times New Roman" w:eastAsia="Times New Roman" w:hAnsi="Times New Roman" w:cs="Times New Roman"/>
          <w:sz w:val="24"/>
          <w:szCs w:val="24"/>
        </w:rPr>
        <w:fldChar w:fldCharType="separate"/>
      </w:r>
      <w:hyperlink w:anchor="Arifin" w:history="1">
        <w:r w:rsidR="00301863" w:rsidRPr="00855207">
          <w:rPr>
            <w:rStyle w:val="Hyperlink"/>
            <w:rFonts w:ascii="Times New Roman" w:eastAsia="Times New Roman" w:hAnsi="Times New Roman" w:cs="Times New Roman"/>
            <w:noProof/>
            <w:sz w:val="24"/>
            <w:szCs w:val="24"/>
            <w:u w:val="none"/>
          </w:rPr>
          <w:t>(Arifin et al., 2023</w:t>
        </w:r>
      </w:hyperlink>
      <w:r w:rsidR="00301863" w:rsidRPr="00855207">
        <w:rPr>
          <w:rFonts w:ascii="Times New Roman" w:eastAsia="Times New Roman" w:hAnsi="Times New Roman" w:cs="Times New Roman"/>
          <w:noProof/>
          <w:sz w:val="24"/>
          <w:szCs w:val="24"/>
        </w:rPr>
        <w:t xml:space="preserve">; </w:t>
      </w:r>
      <w:hyperlink w:anchor="Handoyo" w:history="1">
        <w:r w:rsidR="00301863" w:rsidRPr="00855207">
          <w:rPr>
            <w:rStyle w:val="Hyperlink"/>
            <w:rFonts w:ascii="Times New Roman" w:eastAsia="Times New Roman" w:hAnsi="Times New Roman" w:cs="Times New Roman"/>
            <w:noProof/>
            <w:sz w:val="24"/>
            <w:szCs w:val="24"/>
            <w:u w:val="none"/>
          </w:rPr>
          <w:t>Handoyo et al., 2022)</w:t>
        </w:r>
      </w:hyperlink>
      <w:r w:rsidR="00301863" w:rsidRPr="00855207">
        <w:rPr>
          <w:rFonts w:ascii="Times New Roman" w:eastAsia="Times New Roman" w:hAnsi="Times New Roman" w:cs="Times New Roman"/>
          <w:sz w:val="24"/>
          <w:szCs w:val="24"/>
        </w:rPr>
        <w:fldChar w:fldCharType="end"/>
      </w:r>
      <w:r w:rsidR="003D6900"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sustainability reporting</w:t>
      </w:r>
      <w:r w:rsidR="00301863" w:rsidRPr="00855207">
        <w:rPr>
          <w:rFonts w:ascii="Times New Roman" w:eastAsia="Times New Roman" w:hAnsi="Times New Roman" w:cs="Times New Roman"/>
          <w:sz w:val="24"/>
          <w:szCs w:val="24"/>
        </w:rPr>
        <w:t xml:space="preserve"> </w:t>
      </w:r>
      <w:hyperlink w:anchor="Fuadah"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{"citationItems":[{"id":"ITEM-1","itemData":{"DOI":"10.3390/su14073738","ISSN":"20711050","abstract":"This study aimed to identify the effect of e-commerce and sustainability reporting on tax avoidance and firm performance, as well as determining whether organizational culture acts as a moderating variable in small and medium enterprises in Palembang, South Sumatera, Indonesia. Agency theory and stakeholder theory were employed as a framework. The questionnaires were distributed online to the owners of small and medium enterprises in Palembang; a sample of 211 respondents completed the questionnaire. Partial least square structural equation model regression was used to test and analyze the hypotheses. The results show that sustainability reporting and e-commerce have a positive effect on tax avoidance, while tax avoidance has a positive effect on company performance. However, organizational culture does not act as moderating variable to strengthen the effect of tax avoidance on company performance.","author":[{"dropping-particle":"","family":"Fuadah","given":"Luk Luk","non-dropping-particle":"","parse-names":false,"suffix":""},{"dropping-particle":"","family":"Dewi","given":"Kencana","non-dropping-particle":"","parse-names":false,"suffix":""},{"dropping-particle":"","family":"Mukhtaruddin","given":"Mukhtaruddin","non-dropping-particle":"","parse-names":false,"suffix":""},{"dropping-particle":"","family":"Kalsum","given":"Umi","non-dropping-particle":"","parse-names":false,"suffix":""},{"dropping-particle":"","family":"Arisman","given":"Anton","non-dropping-particle":"","parse-names":false,"suffix":""}],"container-title":"Sustainability (Switzerland)","id":"ITEM-1","issue":"7","issued":{"date-parts":[["2022"]]},"title":"The Relationship between Sustainability Reporting, E-Commerce, Firm Performance and Tax Avoidance with Organizational Culture as Moderating Variable in Small and Medium Enterprises in Palembang","type":"article-journal","volume":"14"},"uris":["http://www.mendeley.com/documents/?uuid=24e3bedf-0e12-4927-bd1d-300fbc73a840"]}],"mendeley":{"formattedCitation":"(Fuadah et al., 2022)","plainTextFormattedCitation":"(Fuadah et al., 2022)","previouslyFormattedCitation":"(Fuadah et al., 2022)"},"properties":{"noteIndex":0},"schema":"https://github.com/citation-style-language/schema/raw/master/csl-citation.json"}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(Fuadah et al., 2022)</w:t>
        </w:r>
        <w:r w:rsidR="00301863" w:rsidRPr="00855207">
          <w:rPr>
            <w:rStyle w:val="Hyperlink"/>
            <w:rFonts w:ascii="Times New Roman" w:eastAsia="Times New Roman" w:hAnsi="Times New Roman" w:cs="Times New Roman"/>
            <w:sz w:val="24"/>
            <w:szCs w:val="24"/>
            <w:u w:val="none"/>
          </w:rPr>
          <w:fldChar w:fldCharType="end"/>
        </w:r>
      </w:hyperlink>
      <w:r w:rsidRPr="00855207">
        <w:rPr>
          <w:rFonts w:ascii="Times New Roman" w:eastAsia="Times New Roman" w:hAnsi="Times New Roman" w:cs="Times New Roman"/>
          <w:sz w:val="24"/>
          <w:szCs w:val="24"/>
        </w:rPr>
        <w:t>, environmental disclosure</w:t>
      </w:r>
      <w:r w:rsidR="00301863" w:rsidRPr="00855207">
        <w:rPr>
          <w:rFonts w:ascii="Times New Roman" w:eastAsia="Times New Roman" w:hAnsi="Times New Roman" w:cs="Times New Roman"/>
          <w:sz w:val="24"/>
          <w:szCs w:val="24"/>
        </w:rPr>
        <w:t xml:space="preserve"> </w:t>
      </w:r>
      <w:hyperlink w:anchor="Rin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{"citationItems":[{"id":"ITEM-1","itemData":{"DOI":"10.1108/IJOES-01-2022-0017","ISSN":"25149369","abstract":"Purpose: This study aims to investigate the association between corporate tax avoidance and environmental costs and disclosure in Indonesia and Australia for the research period 2015–2019. This study also analyzes corporate strategies for overcoming public concerns about tax avoidance activities, namely, the trade-off legitimacy and risk reduction strategies, through two mechanisms: the mediation and moderation roles of environmental disclosure on the relationship between environmental costs and tax avoidance activities. Design/methodology/approach: The data consists of 675 and 235 observations for Australia and Indonesia, respectively, which were analyzed quantitatively using panel regression. Findings: The results showed that the trade-off legitimacy or risk reduction strategies are not found to be implemented by companies in Indonesia, while in Australia, corporations use the trade-off legitimacy strategy to reduce risk and overcome the negative impact of tax avoidance activities. The results also provide empirical evidence on the impact of environmental costs on environmental disclosure in both countries. Originality/value: This study contributes to the literature by providing the latest evidence on the role of environmental costs on environmental disclosure, which has rarely been investigated in previous studies.","author":[{"dropping-particle":"","family":"Rini","given":"Rima Kusuma","non-dropping-particle":"","parse-names":false,"suffix":""},{"dropping-particle":"","family":"Adhariani","given":"Desi","non-dropping-particle":"","parse-names":false,"suffix":""},{"dropping-particle":"","family":"Sari","given":"Dahlia","non-dropping-particle":"","parse-names":false,"suffix":""}],"container-title":"International Journal of Ethics and Systems","id":"ITEM-1","issue":"2","issued":{"date-parts":[["2024"]]},"page":"281-302","title":"Environmental costs, environmental disclosure, and tax avoidance: evidence from mining and energy companies in Indonesia and Australia","type":"article-journal","volume":"40"},"uris":["http://www.mendeley.com/documents/?uuid=41748af6-dc3a-4856-89ef-da02d1747aa7"]}],"mendeley":{"formattedCitation":"(Rini et al., 2024)","plainTextFormattedCitation":"(Rini et al., 2024)","previouslyFormattedCitation":"(Rini et al., 2024)"},"properties":{"noteIndex":0},"schema":"https://github.com/citation-style-language/schema/raw/master/csl-citation.json"}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(Rini et al., 2024)</w:t>
        </w:r>
        <w:r w:rsidR="00301863" w:rsidRPr="00855207">
          <w:rPr>
            <w:rStyle w:val="Hyperlink"/>
            <w:rFonts w:ascii="Times New Roman" w:eastAsia="Times New Roman" w:hAnsi="Times New Roman" w:cs="Times New Roman"/>
            <w:sz w:val="24"/>
            <w:szCs w:val="24"/>
            <w:u w:val="none"/>
          </w:rPr>
          <w:fldChar w:fldCharType="end"/>
        </w:r>
      </w:hyperlink>
      <w:r w:rsidRPr="00855207">
        <w:rPr>
          <w:rFonts w:ascii="Times New Roman" w:eastAsia="Times New Roman" w:hAnsi="Times New Roman" w:cs="Times New Roman"/>
          <w:sz w:val="24"/>
          <w:szCs w:val="24"/>
        </w:rPr>
        <w:t>, CSR</w:t>
      </w:r>
      <w:r w:rsidR="00301863" w:rsidRPr="00855207">
        <w:rPr>
          <w:rFonts w:ascii="Times New Roman" w:eastAsia="Times New Roman" w:hAnsi="Times New Roman" w:cs="Times New Roman"/>
          <w:sz w:val="24"/>
          <w:szCs w:val="24"/>
        </w:rPr>
        <w:t xml:space="preserve"> </w:t>
      </w:r>
      <w:hyperlink w:anchor="Istianingsih"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{"citationItems":[{"id":"ITEM-1","itemData":{"DOI":"10.31838/srp.2020.5.140","ISSN":"09762779","abstract":"This study aims to examine the role of Corporate Social Responsibility (CSR) disclosure towards tax avoidance of pharmaceutical companies in Indonesia. In addition, this study also examines the impact of implementing Good Corporate Governance practices as measured by the Audit Committee and audit quality on Tax Avoidance. Tax Avoidance in this study was measured by Cash Effective Tax Rate. The population of this research is pharmaceutical companies that are listed on the Indonesia Stock Exchange in 2015-2019. To determine the research sample used purposive sampling method. The number of final samples used in this study is the method of analysis in this study is a multiple linear regression test. This study failed to prove that CSR and GCG disclosures as measured by the Audit Committee did not have a significant impact on tax avoidance in the pharmaceutical sector. However, the findings of this research indicate that GCG as measured by Audit Quality has a significant effect on Tax Avoidance.","author":[{"dropping-particle":"","family":"Istianingsih","given":"","non-dropping-particle":"","parse-names":false,"suffix":""}],"container-title":"Systematic Reviews in Pharmacy","id":"ITEM-1","issue":"12","issued":{"date-parts":[["2020"]]},"page":"977-983","title":"The Effect of Corporate Social Responsibility and Good Corporate Governance on Pharmaceutical Company Tax Avoidation in Indonesia","type":"article-journal","volume":"11"},"uris":["http://www.mendeley.com/documents/?uuid=0068c5cb-565d-45c6-9693-d9b0f3e32503"]}],"mendeley":{"formattedCitation":"(Istianingsih, 2020)","plainTextFormattedCitation":"(Istianingsih, 2020)","previouslyFormattedCitation":"(Istianingsih, 2020)"},"properties":{"noteIndex":0},"schema":"https://github.com/citation-style-language/schema/raw/master/csl-citation.json"}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(Istianingsih, 2020)</w:t>
        </w:r>
        <w:r w:rsidR="00301863" w:rsidRPr="00855207">
          <w:rPr>
            <w:rStyle w:val="Hyperlink"/>
            <w:rFonts w:ascii="Times New Roman" w:eastAsia="Times New Roman" w:hAnsi="Times New Roman" w:cs="Times New Roman"/>
            <w:sz w:val="24"/>
            <w:szCs w:val="24"/>
            <w:u w:val="none"/>
          </w:rPr>
          <w:fldChar w:fldCharType="end"/>
        </w:r>
      </w:hyperlink>
      <w:r w:rsidRPr="00855207">
        <w:rPr>
          <w:rFonts w:ascii="Times New Roman" w:eastAsia="Times New Roman" w:hAnsi="Times New Roman" w:cs="Times New Roman"/>
          <w:sz w:val="24"/>
          <w:szCs w:val="24"/>
        </w:rPr>
        <w:t>, or ESG scores</w:t>
      </w:r>
      <w:r w:rsidR="00301863" w:rsidRPr="00855207">
        <w:rPr>
          <w:rFonts w:ascii="Times New Roman" w:eastAsia="Times New Roman" w:hAnsi="Times New Roman" w:cs="Times New Roman"/>
          <w:sz w:val="24"/>
          <w:szCs w:val="24"/>
        </w:rPr>
        <w:t xml:space="preserve"> </w:t>
      </w:r>
      <w:hyperlink w:anchor="Yanto"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{"citationItems":[{"id":"ITEM-1","itemData":{"DOI":"10.21511/ppm.23(1).2025.25","ISSN":"18105467","abstract":"This study highlights the complexity of the relationship between sustainability performance, environment, social and governance (ESG) reporting, and tax aggressiveness, which is a critical concern amidst the increasing demands for corporate social accountability. Companies in Indonesia and Malaysia, especially those in the non-financial sector, face increasing regulatory pressure to meet ESG standards. This study uses 263 Indonesian and 311 Malaysian companies as samples because both countries are prominent emerging markets in Southeast Asia with fast-growing economies, diverse industries, and abundant natural resources. However, aggressive tax avoidance remains a common strategy to maintain financial flexibility. This study aims to examine whether companies with high ESG performance tend to reduce tax avoidance practices or use it as a strategy to cover ESG costs. Through 2SLS regression analysis on 2012–2021 data, the results show that ESG performance has a significant positive effect on tax aggressiveness, where companies with high ESG performance also tend to engage in tax avoidance to cover ESG costs. Conversely, tax aggressiveness positively affects ESG performance because companies increase ESG engagement to reduce reputational risks from aggressive tax practices. The simultaneous test found a reciprocal relationship between the two variables with an R2 value of 29.4% for tax aggressiveness and 63.1% for ESG performance. This study suggests stricter regulations to reduce tax avoidance in companies with high ESG performance and provides insights for policymakers in Southeast Asia.","author":[{"dropping-particle":"","family":"Yanto","given":"Heri","non-dropping-particle":"","parse-names":false,"suffix":""},{"dropping-particle":"","family":"Hajawiyah","given":"Ain","non-dropping-particle":"","parse-names":false,"suffix":""},{"dropping-particle":"","family":"Baroroh","given":"Niswah","non-dropping-particle":"","parse-names":false,"suffix":""}],"container-title":"Problems and Perspectives in Management","id":"ITEM-1","issue":"1","issued":{"date-parts":[["2025"]]},"page":"339-351","title":"The reciprocal effect of environmental, social, and governance (ESG) practices and tax aggressiveness in Indonesian and Malaysian companies","type":"article-journal","volume":"23"},"uris":["http://www.mendeley.com/documents/?uuid=70e13aa7-1476-45e8-a752-25e3046fedb7"]}],"mendeley":{"formattedCitation":"(Yanto et al., 2025)","plainTextFormattedCitation":"(Yanto et al., 2025)","previouslyFormattedCitation":"(Yanto et al., 2025)"},"properties":{"noteIndex":0},"schema":"https://github.com/citation-style-language/schema/raw/master/csl-citation.json"}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(Yanto et al., 2025)</w:t>
        </w:r>
        <w:r w:rsidR="00301863" w:rsidRPr="00855207">
          <w:rPr>
            <w:rStyle w:val="Hyperlink"/>
            <w:rFonts w:ascii="Times New Roman" w:eastAsia="Times New Roman" w:hAnsi="Times New Roman" w:cs="Times New Roman"/>
            <w:sz w:val="24"/>
            <w:szCs w:val="24"/>
            <w:u w:val="none"/>
          </w:rPr>
          <w:fldChar w:fldCharType="end"/>
        </w:r>
      </w:hyperlink>
      <w:r w:rsidRPr="00855207">
        <w:rPr>
          <w:rFonts w:ascii="Times New Roman" w:eastAsia="Times New Roman" w:hAnsi="Times New Roman" w:cs="Times New Roman"/>
          <w:sz w:val="24"/>
          <w:szCs w:val="24"/>
        </w:rPr>
        <w:t xml:space="preserve">. Consequently, earlier studies have not yet identified which ESG element plays the most significant role in influencing tax avoidance. Therefore, </w:t>
      </w:r>
      <w:r w:rsidR="0044679E" w:rsidRPr="00855207">
        <w:rPr>
          <w:rFonts w:ascii="Times New Roman" w:eastAsia="Times New Roman" w:hAnsi="Times New Roman" w:cs="Times New Roman"/>
          <w:sz w:val="24"/>
          <w:szCs w:val="24"/>
        </w:rPr>
        <w:t xml:space="preserve">this context </w:t>
      </w:r>
      <w:r w:rsidRPr="00855207">
        <w:rPr>
          <w:rFonts w:ascii="Times New Roman" w:eastAsia="Times New Roman" w:hAnsi="Times New Roman" w:cs="Times New Roman"/>
          <w:sz w:val="24"/>
          <w:szCs w:val="24"/>
        </w:rPr>
        <w:t xml:space="preserve">is crucial </w:t>
      </w:r>
      <w:r w:rsidR="00CF2ACB" w:rsidRPr="00855207">
        <w:rPr>
          <w:rFonts w:ascii="Times New Roman" w:eastAsia="Times New Roman" w:hAnsi="Times New Roman" w:cs="Times New Roman"/>
          <w:sz w:val="24"/>
          <w:szCs w:val="24"/>
        </w:rPr>
        <w:t xml:space="preserve">for </w:t>
      </w:r>
      <w:r w:rsidRPr="00855207">
        <w:rPr>
          <w:rFonts w:ascii="Times New Roman" w:eastAsia="Times New Roman" w:hAnsi="Times New Roman" w:cs="Times New Roman"/>
          <w:sz w:val="24"/>
          <w:szCs w:val="24"/>
        </w:rPr>
        <w:t>conduct</w:t>
      </w:r>
      <w:r w:rsidR="00CF2ACB" w:rsidRPr="00855207">
        <w:rPr>
          <w:rFonts w:ascii="Times New Roman" w:eastAsia="Times New Roman" w:hAnsi="Times New Roman" w:cs="Times New Roman"/>
          <w:sz w:val="24"/>
          <w:szCs w:val="24"/>
        </w:rPr>
        <w:t>ing</w:t>
      </w:r>
      <w:r w:rsidRPr="00855207">
        <w:rPr>
          <w:rFonts w:ascii="Times New Roman" w:eastAsia="Times New Roman" w:hAnsi="Times New Roman" w:cs="Times New Roman"/>
          <w:sz w:val="24"/>
          <w:szCs w:val="24"/>
        </w:rPr>
        <w:t xml:space="preserve"> research that explores the role of each ESG component in shaping tax avoidance, to</w:t>
      </w:r>
      <w:r w:rsidRPr="0099292E">
        <w:rPr>
          <w:rFonts w:ascii="Times New Roman" w:eastAsia="Times New Roman" w:hAnsi="Times New Roman" w:cs="Times New Roman"/>
          <w:sz w:val="24"/>
          <w:szCs w:val="24"/>
        </w:rPr>
        <w:t xml:space="preserve"> provide a more comprehensive understanding of how ESG affects tax avoidance.</w:t>
      </w:r>
    </w:p>
    <w:p w14:paraId="03420E42" w14:textId="407775D8" w:rsidR="00AD227A" w:rsidRPr="0099292E" w:rsidRDefault="00F34F20" w:rsidP="00F428C4">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This study does not solely examine the </w:t>
      </w:r>
      <w:r w:rsidR="00C646E8" w:rsidRPr="0099292E">
        <w:rPr>
          <w:rFonts w:ascii="Times New Roman" w:eastAsia="Times New Roman" w:hAnsi="Times New Roman" w:cs="Times New Roman"/>
          <w:sz w:val="24"/>
          <w:szCs w:val="24"/>
        </w:rPr>
        <w:t>link</w:t>
      </w:r>
      <w:r w:rsidRPr="0099292E">
        <w:rPr>
          <w:rFonts w:ascii="Times New Roman" w:eastAsia="Times New Roman" w:hAnsi="Times New Roman" w:cs="Times New Roman"/>
          <w:sz w:val="24"/>
          <w:szCs w:val="24"/>
        </w:rPr>
        <w:t xml:space="preserve"> between ESG disclosure or ESG scores and tax </w:t>
      </w:r>
      <w:r w:rsidR="00C646E8" w:rsidRPr="0099292E">
        <w:rPr>
          <w:rFonts w:ascii="Times New Roman" w:eastAsia="Times New Roman" w:hAnsi="Times New Roman" w:cs="Times New Roman"/>
          <w:sz w:val="24"/>
          <w:szCs w:val="24"/>
        </w:rPr>
        <w:t xml:space="preserve">aggressiveness. </w:t>
      </w:r>
      <w:r w:rsidRPr="0099292E">
        <w:rPr>
          <w:rFonts w:ascii="Times New Roman" w:eastAsia="Times New Roman" w:hAnsi="Times New Roman" w:cs="Times New Roman"/>
          <w:sz w:val="24"/>
          <w:szCs w:val="24"/>
        </w:rPr>
        <w:t xml:space="preserve">Rather, it emphasizes that the relationship between ESG and tax avoidance is better reflected through </w:t>
      </w:r>
      <w:r w:rsidR="00CF2ACB">
        <w:rPr>
          <w:rFonts w:ascii="Times New Roman" w:eastAsia="Times New Roman" w:hAnsi="Times New Roman" w:cs="Times New Roman"/>
          <w:sz w:val="24"/>
          <w:szCs w:val="24"/>
        </w:rPr>
        <w:t>implementing</w:t>
      </w:r>
      <w:r w:rsidRPr="0099292E">
        <w:rPr>
          <w:rFonts w:ascii="Times New Roman" w:eastAsia="Times New Roman" w:hAnsi="Times New Roman" w:cs="Times New Roman"/>
          <w:sz w:val="24"/>
          <w:szCs w:val="24"/>
        </w:rPr>
        <w:t xml:space="preserve"> </w:t>
      </w:r>
      <w:r w:rsidR="00CF2ACB">
        <w:rPr>
          <w:rFonts w:ascii="Times New Roman" w:eastAsia="Times New Roman" w:hAnsi="Times New Roman" w:cs="Times New Roman"/>
          <w:sz w:val="24"/>
          <w:szCs w:val="24"/>
        </w:rPr>
        <w:t>e</w:t>
      </w:r>
      <w:r w:rsidRPr="0099292E">
        <w:rPr>
          <w:rFonts w:ascii="Times New Roman" w:eastAsia="Times New Roman" w:hAnsi="Times New Roman" w:cs="Times New Roman"/>
          <w:sz w:val="24"/>
          <w:szCs w:val="24"/>
        </w:rPr>
        <w:t xml:space="preserve">nvironmental, </w:t>
      </w:r>
      <w:r w:rsidR="00CF2ACB">
        <w:rPr>
          <w:rFonts w:ascii="Times New Roman" w:eastAsia="Times New Roman" w:hAnsi="Times New Roman" w:cs="Times New Roman"/>
          <w:sz w:val="24"/>
          <w:szCs w:val="24"/>
        </w:rPr>
        <w:t>s</w:t>
      </w:r>
      <w:r w:rsidRPr="0099292E">
        <w:rPr>
          <w:rFonts w:ascii="Times New Roman" w:eastAsia="Times New Roman" w:hAnsi="Times New Roman" w:cs="Times New Roman"/>
          <w:sz w:val="24"/>
          <w:szCs w:val="24"/>
        </w:rPr>
        <w:t xml:space="preserve">ocial, and </w:t>
      </w:r>
      <w:r w:rsidR="00CF2ACB">
        <w:rPr>
          <w:rFonts w:ascii="Times New Roman" w:eastAsia="Times New Roman" w:hAnsi="Times New Roman" w:cs="Times New Roman"/>
          <w:sz w:val="24"/>
          <w:szCs w:val="24"/>
        </w:rPr>
        <w:t>g</w:t>
      </w:r>
      <w:r w:rsidRPr="0099292E">
        <w:rPr>
          <w:rFonts w:ascii="Times New Roman" w:eastAsia="Times New Roman" w:hAnsi="Times New Roman" w:cs="Times New Roman"/>
          <w:sz w:val="24"/>
          <w:szCs w:val="24"/>
        </w:rPr>
        <w:t xml:space="preserve">overnance principles in corporate business practices. </w:t>
      </w:r>
      <w:r w:rsidR="00AD227A" w:rsidRPr="0099292E">
        <w:rPr>
          <w:rFonts w:ascii="Times New Roman" w:eastAsia="Times New Roman" w:hAnsi="Times New Roman" w:cs="Times New Roman"/>
          <w:sz w:val="24"/>
          <w:szCs w:val="24"/>
        </w:rPr>
        <w:t>This study synthesizes the intricate relationships among the individual ESG pillars and tax avoidance, thereby offering guidance for future research.</w:t>
      </w:r>
    </w:p>
    <w:p w14:paraId="77509B22" w14:textId="057ABD72" w:rsidR="00F34F20" w:rsidRPr="0099292E" w:rsidRDefault="00D72012" w:rsidP="00855207">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By examining how ESG influences tax avoidance, this study contributes theoretically by extending the application of several key theories to the ESG–tax avoidance nexus</w:t>
      </w:r>
      <w:r w:rsidR="00F34F20" w:rsidRPr="0099292E">
        <w:rPr>
          <w:rFonts w:ascii="Times New Roman" w:eastAsia="Times New Roman" w:hAnsi="Times New Roman" w:cs="Times New Roman"/>
          <w:sz w:val="24"/>
          <w:szCs w:val="24"/>
        </w:rPr>
        <w:t xml:space="preserve">. Within this theoretical framework, the study strengthens the understanding of corporate motivations in making strategic tax-related decisions </w:t>
      </w:r>
      <w:r w:rsidR="00CF2ACB">
        <w:rPr>
          <w:rFonts w:ascii="Times New Roman" w:eastAsia="Times New Roman" w:hAnsi="Times New Roman" w:cs="Times New Roman"/>
          <w:sz w:val="24"/>
          <w:szCs w:val="24"/>
        </w:rPr>
        <w:t>and</w:t>
      </w:r>
      <w:r w:rsidR="00F34F20" w:rsidRPr="0099292E">
        <w:rPr>
          <w:rFonts w:ascii="Times New Roman" w:eastAsia="Times New Roman" w:hAnsi="Times New Roman" w:cs="Times New Roman"/>
          <w:sz w:val="24"/>
          <w:szCs w:val="24"/>
        </w:rPr>
        <w:t xml:space="preserve"> explains how external pressures and public expectations may influence corporate behavior in balancing the interests of shareholders, regulators, and the broader society.</w:t>
      </w:r>
      <w:r w:rsidR="00855207">
        <w:rPr>
          <w:rFonts w:ascii="Times New Roman" w:eastAsia="Times New Roman" w:hAnsi="Times New Roman" w:cs="Times New Roman"/>
          <w:sz w:val="24"/>
          <w:szCs w:val="24"/>
          <w:lang w:val="id-ID"/>
        </w:rPr>
        <w:t xml:space="preserve">  </w:t>
      </w:r>
      <w:r w:rsidR="00F34F20" w:rsidRPr="0099292E">
        <w:rPr>
          <w:rFonts w:ascii="Times New Roman" w:eastAsia="Times New Roman" w:hAnsi="Times New Roman" w:cs="Times New Roman"/>
          <w:sz w:val="24"/>
          <w:szCs w:val="24"/>
        </w:rPr>
        <w:t xml:space="preserve">From a practical perspective, this study provides </w:t>
      </w:r>
      <w:r w:rsidR="00CF2ACB">
        <w:rPr>
          <w:rFonts w:ascii="Times New Roman" w:eastAsia="Times New Roman" w:hAnsi="Times New Roman" w:cs="Times New Roman"/>
          <w:sz w:val="24"/>
          <w:szCs w:val="24"/>
        </w:rPr>
        <w:t xml:space="preserve">companies with insights </w:t>
      </w:r>
      <w:r w:rsidR="009D7FF5">
        <w:rPr>
          <w:rFonts w:ascii="Times New Roman" w:eastAsia="Times New Roman" w:hAnsi="Times New Roman" w:cs="Times New Roman"/>
          <w:sz w:val="24"/>
          <w:szCs w:val="24"/>
        </w:rPr>
        <w:t>into</w:t>
      </w:r>
      <w:r w:rsidR="00CF2ACB">
        <w:rPr>
          <w:rFonts w:ascii="Times New Roman" w:eastAsia="Times New Roman" w:hAnsi="Times New Roman" w:cs="Times New Roman"/>
          <w:sz w:val="24"/>
          <w:szCs w:val="24"/>
        </w:rPr>
        <w:t xml:space="preserve"> aligning</w:t>
      </w:r>
      <w:r w:rsidR="00F34F20" w:rsidRPr="0099292E">
        <w:rPr>
          <w:rFonts w:ascii="Times New Roman" w:eastAsia="Times New Roman" w:hAnsi="Times New Roman" w:cs="Times New Roman"/>
          <w:sz w:val="24"/>
          <w:szCs w:val="24"/>
        </w:rPr>
        <w:t xml:space="preserve"> ESG implementation with transparent tax strategies. Such alignment is expected to enhance corporate reputation, strengthen relationships with stakeholders, and minimize both legal and reputational risks that may arise from aggressive tax avoidance practices.</w:t>
      </w:r>
      <w:r w:rsidR="00855207">
        <w:rPr>
          <w:rFonts w:ascii="Times New Roman" w:eastAsia="Times New Roman" w:hAnsi="Times New Roman" w:cs="Times New Roman"/>
          <w:sz w:val="24"/>
          <w:szCs w:val="24"/>
          <w:lang w:val="id-ID"/>
        </w:rPr>
        <w:t xml:space="preserve">  </w:t>
      </w:r>
      <w:r w:rsidR="00F34F20" w:rsidRPr="0099292E">
        <w:rPr>
          <w:rFonts w:ascii="Times New Roman" w:eastAsia="Times New Roman" w:hAnsi="Times New Roman" w:cs="Times New Roman"/>
          <w:sz w:val="24"/>
          <w:szCs w:val="24"/>
        </w:rPr>
        <w:t xml:space="preserve">From a policy perspective, this study </w:t>
      </w:r>
      <w:r w:rsidR="00CF2ACB">
        <w:rPr>
          <w:rFonts w:ascii="Times New Roman" w:eastAsia="Times New Roman" w:hAnsi="Times New Roman" w:cs="Times New Roman"/>
          <w:sz w:val="24"/>
          <w:szCs w:val="24"/>
        </w:rPr>
        <w:t>recommends that</w:t>
      </w:r>
      <w:r w:rsidR="00F34F20" w:rsidRPr="0099292E">
        <w:rPr>
          <w:rFonts w:ascii="Times New Roman" w:eastAsia="Times New Roman" w:hAnsi="Times New Roman" w:cs="Times New Roman"/>
          <w:sz w:val="24"/>
          <w:szCs w:val="24"/>
        </w:rPr>
        <w:t xml:space="preserve"> tax authorities and regulators design policies and incentives that integrate </w:t>
      </w:r>
      <w:r w:rsidR="00F34F20" w:rsidRPr="0099292E">
        <w:rPr>
          <w:rFonts w:ascii="Times New Roman" w:eastAsia="Times New Roman" w:hAnsi="Times New Roman" w:cs="Times New Roman"/>
          <w:sz w:val="24"/>
          <w:szCs w:val="24"/>
        </w:rPr>
        <w:lastRenderedPageBreak/>
        <w:t>ESG practices into corporate tax compliance. In doing so, such policies would not only encourage corporate tax compliance but also reinforce the sustainable development agenda by creating synergy between the state’s fiscal interests and corporate commitments to social responsibility and environmental sustainability.</w:t>
      </w:r>
    </w:p>
    <w:p w14:paraId="5C0AC312" w14:textId="77777777" w:rsidR="00361DD1" w:rsidRPr="0099292E" w:rsidRDefault="00361DD1" w:rsidP="00542793">
      <w:pPr>
        <w:spacing w:after="0"/>
        <w:ind w:firstLine="426"/>
        <w:contextualSpacing/>
        <w:jc w:val="both"/>
        <w:rPr>
          <w:rFonts w:ascii="Times New Roman" w:eastAsia="Times New Roman" w:hAnsi="Times New Roman" w:cs="Times New Roman"/>
          <w:sz w:val="24"/>
          <w:szCs w:val="24"/>
        </w:rPr>
      </w:pPr>
    </w:p>
    <w:p w14:paraId="249A1E76" w14:textId="31CC1ABF" w:rsidR="00361DD1" w:rsidRPr="0099292E" w:rsidRDefault="00855D6A" w:rsidP="00542793">
      <w:pPr>
        <w:numPr>
          <w:ilvl w:val="0"/>
          <w:numId w:val="1"/>
        </w:numPr>
        <w:pBdr>
          <w:top w:val="nil"/>
          <w:left w:val="nil"/>
          <w:bottom w:val="nil"/>
          <w:right w:val="nil"/>
          <w:between w:val="nil"/>
        </w:pBdr>
        <w:spacing w:after="0"/>
        <w:ind w:left="426" w:hanging="426"/>
        <w:contextualSpacing/>
        <w:jc w:val="both"/>
        <w:rPr>
          <w:rFonts w:ascii="Times New Roman" w:eastAsia="Times New Roman" w:hAnsi="Times New Roman" w:cs="Times New Roman"/>
          <w:b/>
          <w:color w:val="000000"/>
          <w:sz w:val="24"/>
          <w:szCs w:val="24"/>
        </w:rPr>
      </w:pPr>
      <w:r w:rsidRPr="0099292E">
        <w:rPr>
          <w:rFonts w:ascii="Times New Roman" w:eastAsia="Times New Roman" w:hAnsi="Times New Roman" w:cs="Times New Roman"/>
          <w:b/>
          <w:color w:val="000000"/>
          <w:sz w:val="24"/>
          <w:szCs w:val="24"/>
        </w:rPr>
        <w:t>Literature Review</w:t>
      </w:r>
    </w:p>
    <w:p w14:paraId="478F674A" w14:textId="481BD282" w:rsidR="00361DD1" w:rsidRPr="00855207" w:rsidRDefault="00D72012"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Tax avoidance refers to corporate efforts to minimize tax liabilities through legal yet often aggressive strategies, such as exploiting loopholes in tax regulations</w:t>
      </w:r>
      <w:r w:rsidR="00382BB1" w:rsidRPr="0099292E">
        <w:rPr>
          <w:rFonts w:ascii="Times New Roman" w:eastAsia="Times New Roman" w:hAnsi="Times New Roman" w:cs="Times New Roman"/>
          <w:sz w:val="24"/>
          <w:szCs w:val="24"/>
        </w:rPr>
        <w:t xml:space="preserve">. </w:t>
      </w:r>
      <w:r w:rsidRPr="0099292E">
        <w:rPr>
          <w:rFonts w:ascii="Times New Roman" w:eastAsia="Times New Roman" w:hAnsi="Times New Roman" w:cs="Times New Roman"/>
          <w:sz w:val="24"/>
          <w:szCs w:val="24"/>
        </w:rPr>
        <w:t xml:space="preserve">It encompasses strategies ranging from conservative to highly aggressive, with the primary objective of reducing tax payments without explicitly violating tax </w:t>
      </w:r>
      <w:r w:rsidRPr="00855207">
        <w:rPr>
          <w:rFonts w:ascii="Times New Roman" w:eastAsia="Times New Roman" w:hAnsi="Times New Roman" w:cs="Times New Roman"/>
          <w:sz w:val="24"/>
          <w:szCs w:val="24"/>
        </w:rPr>
        <w:t>law</w:t>
      </w:r>
      <w:r w:rsidR="00301863" w:rsidRPr="00855207">
        <w:rPr>
          <w:rFonts w:ascii="Times New Roman" w:eastAsia="Times New Roman" w:hAnsi="Times New Roman" w:cs="Times New Roman"/>
          <w:sz w:val="24"/>
          <w:szCs w:val="24"/>
        </w:rPr>
        <w:t xml:space="preserve"> </w:t>
      </w:r>
      <w:hyperlink w:anchor="Ho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{"citationItems":[{"id":"ITEM-1","itemData":{"DOI":"10.2308/accr-50544","ISSN":"00014826","abstract":"We examine the empirical association between corporate social responsibility (CSR) and tax avoidance. Our findings suggest that firms with excessive irresponsible CSR activities have a higher likelihood of engaging in tax-sheltering activities and greater discretionary/permanent book-tax differences. Moreover, at the onset of FASB Interpretation No. 48, these firms have more uncertain tax positions; also, these firms' initial tax positions are likely supported by weaker facts and circumstances as indicated by their larger post-FIN 48 settlements with tax authorities and their higher likelihood of a net decrease in the overall level of uncertain tax positions after FIN 48. Collectively, these results suggest that firms with excessive irresponsible CSR activities are more aggressive in avoiding taxes, lending credence to the idea that corporate culture affects tax avoidance.","author":[{"dropping-particle":"","family":"Hoi","given":"Chun Keung","non-dropping-particle":"","parse-names":false,"suffix":""},{"dropping-particle":"","family":"Wu","given":"Qiang","non-dropping-particle":"","parse-names":false,"suffix":""},{"dropping-particle":"","family":"Zhang","given":"Hao","non-dropping-particle":"","parse-names":false,"suffix":""}],"container-title":"Accounting Review","id":"ITEM-1","issue":"6","issued":{"date-parts":[["2013"]]},"page":"2025-2059","title":"Is corporate social responsibility (CSR) associated with tax avoidance? Evidence from irresponsible CSR activities","type":"article-journal","volume":"88"},"uris":["http://www.mendeley.com/documents/?uuid=17c4ce28-ca54-4330-b934-8b033d704dae"]}],"mendeley":{"formattedCitation":"(Hoi et al., 2013)","plainTextFormattedCitation":"(Hoi et al., 2013)","previouslyFormattedCitation":"(Hoi et al., 2013)"},"properties":{"noteIndex":0},"schema":"https://github.com/citation-style-language/schema/raw/master/csl-citation.json"}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(Hoi et al., 2013)</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w:t>
      </w:r>
      <w:r w:rsidR="00382BB1" w:rsidRPr="00855207">
        <w:rPr>
          <w:rFonts w:ascii="Times New Roman" w:eastAsia="Times New Roman" w:hAnsi="Times New Roman" w:cs="Times New Roman"/>
          <w:i/>
          <w:iCs/>
          <w:sz w:val="24"/>
          <w:szCs w:val="24"/>
        </w:rPr>
        <w:t xml:space="preserve"> </w:t>
      </w:r>
      <w:r w:rsidR="00382BB1" w:rsidRPr="00855207">
        <w:rPr>
          <w:rFonts w:ascii="Times New Roman" w:eastAsia="Times New Roman" w:hAnsi="Times New Roman" w:cs="Times New Roman"/>
          <w:sz w:val="24"/>
          <w:szCs w:val="24"/>
        </w:rPr>
        <w:t xml:space="preserve">Tax avoidance occurs due to differences in interests between the government and taxpayers. Thus, although the government seeks to </w:t>
      </w:r>
      <w:r w:rsidR="00855D6A" w:rsidRPr="00855207">
        <w:rPr>
          <w:rFonts w:ascii="Times New Roman" w:eastAsia="Times New Roman" w:hAnsi="Times New Roman" w:cs="Times New Roman"/>
          <w:sz w:val="24"/>
          <w:szCs w:val="24"/>
        </w:rPr>
        <w:t>optimize</w:t>
      </w:r>
      <w:r w:rsidR="00382BB1" w:rsidRPr="00855207">
        <w:rPr>
          <w:rFonts w:ascii="Times New Roman" w:eastAsia="Times New Roman" w:hAnsi="Times New Roman" w:cs="Times New Roman"/>
          <w:sz w:val="24"/>
          <w:szCs w:val="24"/>
        </w:rPr>
        <w:t xml:space="preserve"> tax revenue, these efforts still face various challenges</w:t>
      </w:r>
      <w:r w:rsidR="00301863" w:rsidRPr="00855207">
        <w:rPr>
          <w:rFonts w:ascii="Times New Roman" w:eastAsia="Times New Roman" w:hAnsi="Times New Roman" w:cs="Times New Roman"/>
          <w:sz w:val="24"/>
          <w:szCs w:val="24"/>
        </w:rPr>
        <w:t xml:space="preserve"> </w:t>
      </w:r>
      <w:hyperlink w:anchor="Kusumadan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{"citationItems":[{"id":"ITEM-1","itemData":{"DOI":"10.29303/akurasi.v6i1.332","ISSN":"2685-1059","abstract":"Penelitian ini bertujuan untuk memperoleh bukti empiris serta menganalisis faktor-faktor yang memengaruhi tax avoidance. Variabel independen dalam penelitian ini adalah profitabilitas, leverage, ukuran perusahaan, umur perusahaan, sales growth, komite audit, dan kualitas audit. Variabel dependen dalam penelitian ini adalah tax avoidance. Objek dalam penelitian ini adalah perusahaan manufaktur yang terdaftar di Bursa Efek Indonesia (BEI) tahun 2019-2021. Jumlah sampel yang berhasil diperoleh dengan purposive sampling method sebanyak 61 perusahaan dengan jumlah data sebanyak 183. Penelitian ini menggunakan regresi berganda untuk menguji pengaruh antara variabel independen profitabilitas, leverage, ukuran perusahaan, umur perusahaan, sales growth, komite audit, dan kualitas audit terhadap variabel dependen tax avoidance. Hasil penelitian ini menunjukkan bahwa profitabilitas berpengaruh positif terhadap tax avoidance dan leverage berpengaruh negatif terhadap tax avoidance, sedangkan ukuran perusahaan, umur perusahaan, sales growth, komite audit serta kualitas audit tidak berpengaruh terhadap tax avoidance. Implikasi atas hasil penelitian ini berfokus pada penyempurnaan peraturan perpajakan dan peningkatan kesadaran Wajib Pajak untuk meminimalkan tax avoidance.","author":[{"dropping-particle":"","family":"Kusumadani","given":"Handika","non-dropping-particle":"","parse-names":false,"suffix":""},{"dropping-particle":"","family":"Rahayuningsih","given":"Deasy Ariyanti","non-dropping-particle":"","parse-names":false,"suffix":""}],"container-title":"Akurasi : Jurnal Studi Akuntansi dan Keuangan","id":"ITEM-1","issue":"1","issued":{"date-parts":[["2023"]]},"page":"55-72","title":"Apakah Karakteristik Perusahaan Dan Atribut Audit Memengaruhi Tax Avoidance?","type":"article-journal","volume":"6"},"uris":["http://www.mendeley.com/documents/?uuid=7cc27409-6cfb-413c-8ac2-ad72803c72af"]}],"mendeley":{"formattedCitation":"(Kusumadani &amp; Rahayuningsih, 2023)","plainTextFormattedCitation":"(Kusumadani &amp; Rahayuningsih, 2023)","previouslyFormattedCitation":"(Kusumadani &amp; Rahayuningsih, 2023)"},"properties":{"noteIndex":0},"schema":"https://github.com/citation-style-language/schema/raw/master/csl-citation.json"}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(Kusumadani &amp; Rahayuningsih, 2023)</w:t>
        </w:r>
        <w:r w:rsidR="00301863" w:rsidRPr="00855207">
          <w:rPr>
            <w:rStyle w:val="Hyperlink"/>
            <w:rFonts w:ascii="Times New Roman" w:eastAsia="Times New Roman" w:hAnsi="Times New Roman" w:cs="Times New Roman"/>
            <w:sz w:val="24"/>
            <w:szCs w:val="24"/>
            <w:u w:val="none"/>
          </w:rPr>
          <w:fldChar w:fldCharType="end"/>
        </w:r>
      </w:hyperlink>
      <w:r w:rsidR="00301863" w:rsidRPr="00855207">
        <w:rPr>
          <w:rFonts w:ascii="Times New Roman" w:eastAsia="Times New Roman" w:hAnsi="Times New Roman" w:cs="Times New Roman"/>
          <w:sz w:val="24"/>
          <w:szCs w:val="24"/>
        </w:rPr>
        <w:t>.</w:t>
      </w:r>
    </w:p>
    <w:p w14:paraId="5AE539EF" w14:textId="274B0B18" w:rsidR="00361DD1" w:rsidRPr="00855207" w:rsidRDefault="00382BB1"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 xml:space="preserve">In Indonesia, tax avoidance practices are getting more attention as awareness of the importance of tax compliance and contribution to national development increases. </w:t>
      </w:r>
      <w:r w:rsidR="00F96FC4" w:rsidRPr="00855207">
        <w:rPr>
          <w:rFonts w:ascii="Times New Roman" w:eastAsia="Times New Roman" w:hAnsi="Times New Roman" w:cs="Times New Roman"/>
          <w:sz w:val="24"/>
          <w:szCs w:val="24"/>
        </w:rPr>
        <w:t>A mix of factors, including financial health (e.g., profitability and leverage) and non-financial issues (such as the quality of its corporate governance)</w:t>
      </w:r>
      <w:r w:rsidR="009D7FF5" w:rsidRPr="00855207">
        <w:rPr>
          <w:rFonts w:ascii="Times New Roman" w:eastAsia="Times New Roman" w:hAnsi="Times New Roman" w:cs="Times New Roman"/>
          <w:sz w:val="24"/>
          <w:szCs w:val="24"/>
        </w:rPr>
        <w:t>,</w:t>
      </w:r>
      <w:r w:rsidR="00F96FC4" w:rsidRPr="00855207">
        <w:rPr>
          <w:rFonts w:ascii="Times New Roman" w:eastAsia="Times New Roman" w:hAnsi="Times New Roman" w:cs="Times New Roman"/>
          <w:sz w:val="24"/>
          <w:szCs w:val="24"/>
        </w:rPr>
        <w:t xml:space="preserve"> can play a role in driving tax avoidance behavior </w:t>
      </w:r>
      <w:hyperlink w:anchor="Sumartono"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{"citationItems":[{"id":"ITEM-1","itemData":{"DOI":"10.23887/jia.v6i1.29281","ISSN":"2527-4090","abstract":"This study aims to examine and analyze the variables that influence companies to undertake tax avoidance efforts, such as profitability, leverage, firm size, audit committee and executive character variables based on relevant empirical data. Research analysis on a sample of manufacturing companies listed on the Indonesia Stock Exchange (IDX) for the period 2014-2019 that supports our hypothesis. With the number of observations observed as many as 55 companies. The results showed that three variables had a significant positive effect, namely Leverage (DAR), Audit Committee (KA), and Executive Characteristics (KE), then one other variable had a significant negative effect, namely the Profitability (ROA) variable, while the last variable did not have a significant negative effect. the effect on tax avoidance is the variable company size (SIZE) on tax avoidance. This article adds to the study of the effect of profitability, leverage, firm size, audit committee, and executive characteristics on tax avoidance and has implications for corporate management and policy makers.","author":[{"dropping-particle":"","family":"Sumartono","given":"Sumartono","non-dropping-particle":"","parse-names":false,"suffix":""},{"dropping-particle":"","family":"Puspasari","given":"Indah Wahyu Tri","non-dropping-particle":"","parse-names":false,"suffix":""}],"container-title":"Jurnal Ilmiah Akuntansi","id":"ITEM-1","issue":"1","issued":{"date-parts":[["2021"]]},"page":"136","title":"Determinan Tax Avoidance: Bukti Empiris pada Perusahaan Publik di Indonesia","type":"article-journal","volume":"6"},"uris":["http://www.mendeley.com/documents/?uuid=96fdce0f-de84-4a48-98f1-cebfc1caa402"]}],"mendeley":{"formattedCitation":"(Sumartono &amp; Puspasari, 2021)","plainTextFormattedCitation":"(Sumartono &amp; Puspasari, 2021)","previouslyFormattedCitation":"(Sumartono &amp; Puspasari, 2021)"},"properties":{"noteIndex":0},"schema":"https://github.com/citation-style-language/schema/raw/master/csl-citation.json"}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(Sumartono &amp; Puspasari, 2021)</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 xml:space="preserve">. </w:t>
      </w:r>
    </w:p>
    <w:p w14:paraId="59CA98A1" w14:textId="0284B704" w:rsidR="00361DD1" w:rsidRPr="00855207" w:rsidRDefault="004B44BA"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 xml:space="preserve">In line with the growing attention to non-financial factors, the concept of Environmental, Social, and Governance (ESG) has emerged as a more comprehensive framework for assessing corporate responsibility and sustainability. </w:t>
      </w:r>
      <w:r w:rsidR="00D72012" w:rsidRPr="00855207">
        <w:rPr>
          <w:rFonts w:ascii="Times New Roman" w:eastAsia="Times New Roman" w:hAnsi="Times New Roman" w:cs="Times New Roman"/>
          <w:sz w:val="24"/>
          <w:szCs w:val="24"/>
        </w:rPr>
        <w:t xml:space="preserve">ESG ratings have emerged as an </w:t>
      </w:r>
      <w:r w:rsidR="009A08C3" w:rsidRPr="00855207">
        <w:rPr>
          <w:rFonts w:ascii="Times New Roman" w:eastAsia="Times New Roman" w:hAnsi="Times New Roman" w:cs="Times New Roman"/>
          <w:sz w:val="24"/>
          <w:szCs w:val="24"/>
        </w:rPr>
        <w:t>essential</w:t>
      </w:r>
      <w:r w:rsidR="00D72012" w:rsidRPr="00855207">
        <w:rPr>
          <w:rFonts w:ascii="Times New Roman" w:eastAsia="Times New Roman" w:hAnsi="Times New Roman" w:cs="Times New Roman"/>
          <w:sz w:val="24"/>
          <w:szCs w:val="24"/>
        </w:rPr>
        <w:t xml:space="preserve"> tool to evaluate corporate performance</w:t>
      </w:r>
      <w:r w:rsidR="00301863" w:rsidRPr="00855207">
        <w:rPr>
          <w:rFonts w:ascii="Times New Roman" w:eastAsia="Times New Roman" w:hAnsi="Times New Roman" w:cs="Times New Roman"/>
          <w:sz w:val="24"/>
          <w:szCs w:val="24"/>
        </w:rPr>
        <w:t xml:space="preserve"> </w:t>
      </w:r>
      <w:hyperlink w:anchor="Serafeim"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{"citationItems":[{"id":"ITEM-1","itemData":{"DOI":"10.1007/s11142-022-09675-3","ISSN":"15737136","abstract":"We investigate whether environmental, social, and governance (ESG) ratings predict future ESG news and the associated market reactions. We find that the consensus rating predicts future news, but its predictive ability diminishes for firms with large disagreement between raters. The relation between news and market reaction is moderated by the consensus rating. In the presence of high disagreement between raters, the relation between news and market reactions weakens, while the rating with the most predictive power predicts future stock returns. Overall, while rating disagreement hinders the incorporation of value-relevant ESG news into prices, ratings predict future news and proxy for market expectations of future news.","author":[{"dropping-particle":"","family":"Serafeim","given":"George","non-dropping-particle":"","parse-names":false,"suffix":""},{"dropping-particle":"","family":"Yoon","given":"Aaron","non-dropping-particle":"","parse-names":false,"suffix":""}],"container-title":"Review of Accounting Studies","id":"ITEM-1","issue":"3","issued":{"date-parts":[["2023"]]},"page":"1500-1530","title":"Stock price reactions to ESG news: the role of ESG ratings and disagreement","type":"article-journal","volume":"28"},"uris":["http://www.mendeley.com/documents/?uuid=a7fa9cb7-2365-4da6-8cb2-9ea0057c9889"]}],"mendeley":{"formattedCitation":"(Serafeim &amp; Yoon, 2023)","plainTextFormattedCitation":"(Serafeim &amp; Yoon, 2023)","previouslyFormattedCitation":"(Serafeim &amp; Yoon, 2023)"},"properties":{"noteIndex":0},"schema":"https://github.com/citation-style-language/schema/raw/master/csl-citation.json"}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(Serafeim &amp; Yoon, 2023)</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 xml:space="preserve">. </w:t>
      </w:r>
      <w:r w:rsidR="00CF2ACB" w:rsidRPr="00855207">
        <w:rPr>
          <w:rFonts w:ascii="Times New Roman" w:eastAsia="Times New Roman" w:hAnsi="Times New Roman" w:cs="Times New Roman"/>
          <w:sz w:val="24"/>
          <w:szCs w:val="24"/>
        </w:rPr>
        <w:t>Stakeholders increasingly</w:t>
      </w:r>
      <w:r w:rsidR="00D72012" w:rsidRPr="00855207">
        <w:rPr>
          <w:rFonts w:ascii="Times New Roman" w:eastAsia="Times New Roman" w:hAnsi="Times New Roman" w:cs="Times New Roman"/>
          <w:sz w:val="24"/>
          <w:szCs w:val="24"/>
        </w:rPr>
        <w:t xml:space="preserve"> rely on ESG criteria to assess </w:t>
      </w:r>
      <w:r w:rsidR="00CF2ACB" w:rsidRPr="00855207">
        <w:rPr>
          <w:rFonts w:ascii="Times New Roman" w:eastAsia="Times New Roman" w:hAnsi="Times New Roman" w:cs="Times New Roman"/>
          <w:sz w:val="24"/>
          <w:szCs w:val="24"/>
        </w:rPr>
        <w:t xml:space="preserve">the </w:t>
      </w:r>
      <w:r w:rsidR="00D72012" w:rsidRPr="00855207">
        <w:rPr>
          <w:rFonts w:ascii="Times New Roman" w:eastAsia="Times New Roman" w:hAnsi="Times New Roman" w:cs="Times New Roman"/>
          <w:sz w:val="24"/>
          <w:szCs w:val="24"/>
        </w:rPr>
        <w:t>firm</w:t>
      </w:r>
      <w:r w:rsidR="006C4726" w:rsidRPr="00855207">
        <w:rPr>
          <w:rFonts w:ascii="Times New Roman" w:eastAsia="Times New Roman" w:hAnsi="Times New Roman" w:cs="Times New Roman"/>
          <w:sz w:val="24"/>
          <w:szCs w:val="24"/>
        </w:rPr>
        <w:t>’</w:t>
      </w:r>
      <w:r w:rsidR="00D72012" w:rsidRPr="00855207">
        <w:rPr>
          <w:rFonts w:ascii="Times New Roman" w:eastAsia="Times New Roman" w:hAnsi="Times New Roman" w:cs="Times New Roman"/>
          <w:sz w:val="24"/>
          <w:szCs w:val="24"/>
        </w:rPr>
        <w:t>s overall performance and sustainability</w:t>
      </w:r>
      <w:r w:rsidR="00382BB1" w:rsidRPr="00855207">
        <w:rPr>
          <w:rFonts w:ascii="Times New Roman" w:eastAsia="Times New Roman" w:hAnsi="Times New Roman" w:cs="Times New Roman"/>
          <w:sz w:val="24"/>
          <w:szCs w:val="24"/>
        </w:rPr>
        <w:t>. The implementation of ESG is seen as supporting the sustainability of the company in the future. ESG principles include three things: environmental, social, and governance.</w:t>
      </w:r>
    </w:p>
    <w:p w14:paraId="4C4E3DDE" w14:textId="3857C430" w:rsidR="00361DD1" w:rsidRPr="00855207" w:rsidRDefault="00382BB1"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 xml:space="preserve">In the environmental and social dimensions, corporate responsibility today is often measured by CSR. </w:t>
      </w:r>
      <w:r w:rsidR="00D72012" w:rsidRPr="00855207">
        <w:rPr>
          <w:rFonts w:ascii="Times New Roman" w:eastAsia="Times New Roman" w:hAnsi="Times New Roman" w:cs="Times New Roman"/>
          <w:sz w:val="24"/>
          <w:szCs w:val="24"/>
        </w:rPr>
        <w:t xml:space="preserve">It represents corporate initiatives </w:t>
      </w:r>
      <w:r w:rsidR="00CF2ACB" w:rsidRPr="00855207">
        <w:rPr>
          <w:rFonts w:ascii="Times New Roman" w:eastAsia="Times New Roman" w:hAnsi="Times New Roman" w:cs="Times New Roman"/>
          <w:sz w:val="24"/>
          <w:szCs w:val="24"/>
        </w:rPr>
        <w:t>extending</w:t>
      </w:r>
      <w:r w:rsidR="00D72012" w:rsidRPr="00855207">
        <w:rPr>
          <w:rFonts w:ascii="Times New Roman" w:eastAsia="Times New Roman" w:hAnsi="Times New Roman" w:cs="Times New Roman"/>
          <w:sz w:val="24"/>
          <w:szCs w:val="24"/>
        </w:rPr>
        <w:t xml:space="preserve"> beyond economic outcomes to social and environmental impacts</w:t>
      </w:r>
      <w:r w:rsidR="00301863" w:rsidRPr="00855207">
        <w:rPr>
          <w:rFonts w:ascii="Times New Roman" w:eastAsia="Times New Roman" w:hAnsi="Times New Roman" w:cs="Times New Roman"/>
          <w:sz w:val="24"/>
          <w:szCs w:val="24"/>
        </w:rPr>
        <w:t xml:space="preserve"> </w:t>
      </w:r>
      <w:hyperlink w:anchor="Kiryanto"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{"citationItems":[{"id":"ITEM-1","itemData":{"DOI":"10.22219/jrak.v11i2.16470","ISSN":"2088-0685","abstract":"This study aims to determine the effect of the variable profitability, company growth and institutional ownership structure on tax avoidance through corporate social responsibility. The sample used in this research is financial reports of manufacturing companies listed on the Indonesia Stock Exchange (BEI) 2016-2019, while the method in this study uses purposive sampling with a total of 32 samples of manufacturing companies. The analysis technique used is WarpPLS version 5.0. The results indicate that profitability and company growth have a positive and significant effect on corporate social responsibility, but institutional ownership structure has a negative insignificant effect on corporate social responsibility. Profitability has negative and significant impact toward tax avoidance, while company growth and institutional ownership structure has no significant impact toward tax avoidance. As for corporate social responsibility has negative and significant impact toward tax avoidance, and it could be intervening variable between company growth and tax avoidance.  The research has implications for policy makers in this case the government that CSR is able to reduce tax avoidance. Therefore, the government always encourages companies to carry out CSR in order to reduce tax avoidance in the hope that tax revenues can increase.","author":[{"dropping-particle":"","family":"Kiryanto","given":"","non-dropping-particle":"","parse-names":false,"suffix":""},{"dropping-particle":"","family":"Alfiana Rohmatika","given":"","non-dropping-particle":"","parse-names":false,"suffix":""},{"dropping-particle":"","family":"Farikha Amilahaq","given":"","non-dropping-particle":"","parse-names":false,"suffix":""}],"container-title":"Jurnal Reviu Akuntansi dan Keuangan","id":"ITEM-1","issue":"2","issued":{"date-parts":[["2021"]]},"page":"346-365","title":"Is Corporate Social Responsibility Able to Mediate Increased Tax Avoidance?","type":"article-journal","volume":"11"},"uris":["http://www.mendeley.com/documents/?uuid=9f150174-c680-4a08-bc2c-f4e516bacf73"]}],"mendeley":{"formattedCitation":"(Kiryanto et al., 2021)","plainTextFormattedCitation":"(Kiryanto et al., 2021)","previouslyFormattedCitation":"(Kiryanto et al., 2021)"},"properties":{"noteIndex":0},"schema":"https://github.com/citation-style-language/schema/raw/master/csl-citation.json"}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(Kiryanto et al., 2021)</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This concept also upholds environmental sustainability in the company's business practices. The sustainability of the company must also consider certain aspects of the sustainable development agenda, one of which is environmental aspects such as carbon and water</w:t>
      </w:r>
      <w:r w:rsidR="00301863" w:rsidRPr="00855207">
        <w:rPr>
          <w:rFonts w:ascii="Times New Roman" w:eastAsia="Times New Roman" w:hAnsi="Times New Roman" w:cs="Times New Roman"/>
          <w:sz w:val="24"/>
          <w:szCs w:val="24"/>
        </w:rPr>
        <w:t xml:space="preserve"> </w:t>
      </w:r>
      <w:hyperlink w:anchor="Bebbington"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{"citationItems":[{"id":"ITEM-1","itemData":{"DOI":"10.1108/AAAJ-05-2017-2929","ISSN":"09513574","abstract":"Purpose: The purpose of this paper is to establish and advance the role of academic accounting in the pursuit of the United Nations Sustainable Development Goals (SDGs), which are regarded as the most salient point of departure for understanding and achieving environmental and human development ambitions up to (and no doubt beyond) the year 2030. Design/methodology/approach: This paper provides a synthesis of interdisciplinary perspectives on sustainable development and integration of this with the accounting for sustainability literature. In addition, potential accounting research contributions are proposed so as to support the development of new research avenues. Findings: Existing research in accounting that is relevant to individual SDGs serves as an initial link between them and the accounting discipline. At the same time, the SDGs focus highlights new sites for empirical work (including interdisciplinary investigations) as well as inviting innovation in accounting theoretical frameworks. Moreover, the SDGs provide a context for (re)invigorating accounting’s contribution to sustainable development debates. Originality/value: This is the first paper to explore the roles academic accounting can play in furthering achievement of the SDGs through enhanced understanding, critiquing and advancing of accounting policy, practice and theorizing. It is also the first paper to propose a research agenda in this area.","author":[{"dropping-particle":"","family":"Bebbington","given":"Jan","non-dropping-particle":"","parse-names":false,"suffix":""},{"dropping-particle":"","family":"Unerman","given":"Jeffrey","non-dropping-particle":"","parse-names":false,"suffix":""}],"container-title":"Accounting, Auditing and Accountability Journal","id":"ITEM-1","issue":"1","issued":{"date-parts":[["2018"]]},"page":"2-24","title":"Achieving the United Nations Sustainable Development Goals: An enabling role for accounting research","type":"article-journal","volume":"31"},"uris":["http://www.mendeley.com/documents/?uuid=6b831465-4435-47c8-9417-aa0b3256ccca"]}],"mendeley":{"formattedCitation":"(Bebbington &amp; Unerman, 2018)","plainTextFormattedCitation":"(Bebbington &amp; Unerman, 2018)","previouslyFormattedCitation":"(Bebbington &amp; Unerman, 2018)"},"properties":{"noteIndex":0},"schema":"https://github.com/citation-style-language/schema/raw/master/csl-citation.json"}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(Bebbington &amp; Unerman, 2018)</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w:t>
      </w:r>
      <w:r w:rsidR="00E70922" w:rsidRPr="00855207">
        <w:rPr>
          <w:rFonts w:ascii="Times New Roman" w:eastAsia="Times New Roman" w:hAnsi="Times New Roman" w:cs="Times New Roman"/>
          <w:sz w:val="24"/>
          <w:szCs w:val="24"/>
        </w:rPr>
        <w:t xml:space="preserve"> </w:t>
      </w:r>
    </w:p>
    <w:p w14:paraId="522A168A" w14:textId="1A0E4593" w:rsidR="00361DD1" w:rsidRPr="00855207" w:rsidRDefault="00382BB1"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 xml:space="preserve">In the governance dimension, companies must implement aspects of Good Corporate Governance (GCG) as a responsibility to stakeholders. </w:t>
      </w:r>
      <w:r w:rsidR="00D72012" w:rsidRPr="00855207">
        <w:rPr>
          <w:rFonts w:ascii="Times New Roman" w:eastAsia="Times New Roman" w:hAnsi="Times New Roman" w:cs="Times New Roman"/>
          <w:sz w:val="24"/>
          <w:szCs w:val="24"/>
        </w:rPr>
        <w:t>GCG constitutes an effective system for managing firms, designed to enhance shareholder value while also considering the interests of broader stakeholders, including creditors, employees, regulators, and society at large</w:t>
      </w:r>
      <w:r w:rsidR="00301863" w:rsidRPr="00855207">
        <w:rPr>
          <w:rFonts w:ascii="Times New Roman" w:eastAsia="Times New Roman" w:hAnsi="Times New Roman" w:cs="Times New Roman"/>
          <w:sz w:val="24"/>
          <w:szCs w:val="24"/>
        </w:rPr>
        <w:t xml:space="preserve"> </w:t>
      </w:r>
      <w:hyperlink w:anchor="Halimatusadiah"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{"citationItems":[{"id":"ITEM-1","itemData":{"DOI":"10.17509/jrak.v2i1.6583","ISSN":"2338-1507","abstract":"This research purpose to determine the application of Good Corporate Governance at PT. POS INDONESIA (Persero), to determine the implementation of Accounting Information Systems at PT. POS Indones (Persero), and to determine the application of good corporate governance in order to optimize the implementation of Accounting Information Systems at PT. POS Indonesia (Persero). This research uses descriptive method of analysis which aims to get a fairly clear picture of the object examined. Moreover, the authors use a case study, because the authors only discuss the case and retrieval of data on just one company. This research was conducted at PT. POS INDONESIA (Persero) which is located on Jl. Cilaki No. 73 Bandung. The result showed that the implementation of good corporate governance has been adequate, because it has been supported by the elements of Good Corporate Governance consisting of transparency, accountability, responsibility, independence, equality and fairness, and is supported by the stages full of Good Corporate Governance consists of the implementation phase, implementation phase and the evaluation phase, then Implementation of Accounting Information Systems has been adequate, because the input data has been performed with a high level of accuracy, timely, complete, concise, relevant, reliable and comparable. Data processing has also been carried out in accordance with Financial Accounting Standards.","author":[{"dropping-particle":"","family":"Halimatusadiah","given":"Elly","non-dropping-particle":"","parse-names":false,"suffix":""},{"dropping-particle":"","family":"Gunwan","given":"Bangun","non-dropping-particle":"","parse-names":false,"suffix":""}],"container-title":"Jurnal Riset Akuntansi dan Keuangan","id":"ITEM-1","issue":"1","issued":{"date-parts":[["2014"]]},"page":"300","title":"Analisis Penerapan Good Corporate Governance Dalam Mengoplimalkan Pelaksanaan Sistem Informasi Akuntansi","type":"article-journal","volume":"2"},"uris":["http://www.mendeley.com/documents/?uuid=314d7701-d2d3-4d3a-8d1c-d958e9d0659a"]}],"mendeley":{"formattedCitation":"(Halimatusadiah &amp; Gunwan, 2014)","plainTextFormattedCitation":"(Halimatusadiah &amp; Gunwan, 2014)","previouslyFormattedCitation":"(Halimatusadiah &amp; Gunwan, 2014)"},"properties":{"noteIndex":0},"schema":"https://github.com/citation-style-language/schema/raw/master/csl-citation.json"}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(Halimatusadiah &amp; Gunwan, 2014)</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 xml:space="preserve">GCG can be measured by various things, </w:t>
      </w:r>
      <w:r w:rsidR="00CF2ACB" w:rsidRPr="00855207">
        <w:rPr>
          <w:rFonts w:ascii="Times New Roman" w:eastAsia="Times New Roman" w:hAnsi="Times New Roman" w:cs="Times New Roman"/>
          <w:sz w:val="24"/>
          <w:szCs w:val="24"/>
        </w:rPr>
        <w:t>such as</w:t>
      </w:r>
      <w:r w:rsidRPr="00855207">
        <w:rPr>
          <w:rFonts w:ascii="Times New Roman" w:eastAsia="Times New Roman" w:hAnsi="Times New Roman" w:cs="Times New Roman"/>
          <w:sz w:val="24"/>
          <w:szCs w:val="24"/>
        </w:rPr>
        <w:t xml:space="preserve"> the proportion of independent commissioners, institutional ownership, audit committees, and audit quality</w:t>
      </w:r>
      <w:r w:rsidR="005D7561" w:rsidRPr="00855207">
        <w:rPr>
          <w:rFonts w:ascii="Times New Roman" w:eastAsia="Times New Roman" w:hAnsi="Times New Roman" w:cs="Times New Roman"/>
          <w:sz w:val="24"/>
          <w:szCs w:val="24"/>
        </w:rPr>
        <w:t xml:space="preserve"> </w:t>
      </w:r>
      <w:hyperlink w:anchor="Sunarsih"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{"citationItems":[{"id":"ITEM-1","itemData":{"DOI":"10.15408/etk.v15i2.3541","ISSN":"1412-8969","abstract":"This study aimed to examine the effect of good corporate Governance against tax avoidance peroxided by the book tax gap and corporate governance is peroxided by institutional ownership, managerial ownership, independent board, audit committee and audit quality. This study was performed on companies listed on the Stock Exchange on the observation period 2011-2014. The method used is purposive sampling and obtained a sample of 10 companies. The data used is secondary data that can be downloaded through www.idx.co.id and www.sahamok.com.  The results showed that the variables of the board of managerial ownership, independent directors, audit committee, and audit quality effect on tax avoidance while institutional ownership variable has no effect on tax avoidance. It is suspected that institutional ownership as a monitoring tool in any decision taken by the manager does not support an optimal oversight of management performance related to tax evasion.DOI: 10.15408/etk.v15i2.3541","author":[{"dropping-particle":"","family":"Sunarsih","given":"Uun","non-dropping-particle":"","parse-names":false,"suffix":""},{"dropping-particle":"","family":"Oktaviani","given":"Kartika","non-dropping-particle":"","parse-names":false,"suffix":""}],"container-title":"Etikonomi","id":"ITEM-1","issue":"2","issued":{"date-parts":[["2016"]]},"page":"85-96","title":"Good Corporate Governance in Manufacturing Companies Tax Avoidance","type":"article-journal","volume":"15"},"uris":["http://www.mendeley.com/documents/?uuid=34aab97c-f145-4b8b-9662-85417f3f2e06"]}],"mendeley":{"formattedCitation":"(Sunarsih &amp; Oktaviani, 2016)","plainTextFormattedCitation":"(Sunarsih &amp; Oktaviani, 2016)","previouslyFormattedCitation":"(Sunarsih &amp; Oktaviani, 2016)"},"properties":{"noteIndex":0},"schema":"https://github.com/citation-style-language/schema/raw/master/csl-citation.json"}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(Sunarsih &amp; Oktaviani, 2016)</w:t>
        </w:r>
        <w:r w:rsidR="00301863" w:rsidRPr="00855207">
          <w:rPr>
            <w:rStyle w:val="Hyperlink"/>
            <w:rFonts w:ascii="Times New Roman" w:eastAsia="Times New Roman" w:hAnsi="Times New Roman" w:cs="Times New Roman"/>
            <w:sz w:val="24"/>
            <w:szCs w:val="24"/>
            <w:u w:val="none"/>
          </w:rPr>
          <w:fldChar w:fldCharType="end"/>
        </w:r>
      </w:hyperlink>
      <w:hyperlink w:anchor="Sunarsih" w:history="1">
        <w:r w:rsidR="00CE4556" w:rsidRPr="00855207">
          <w:rPr>
            <w:rStyle w:val="Hyperlink"/>
            <w:rFonts w:ascii="Times New Roman" w:eastAsia="Times New Roman" w:hAnsi="Times New Roman" w:cs="Times New Roman"/>
            <w:sz w:val="24"/>
            <w:szCs w:val="24"/>
            <w:u w:val="none"/>
          </w:rPr>
          <w:t>.</w:t>
        </w:r>
      </w:hyperlink>
    </w:p>
    <w:p w14:paraId="268ACF54" w14:textId="04F5680C" w:rsidR="00A8247F" w:rsidRPr="00855207" w:rsidRDefault="004B44BA"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With the increasing adoption of ESG in business practices, a fundamental question arises as to the extent to which ESG can influence corporate strategies in addressing tax obligations, particularly tax avoidance. Consequently, the relationship between ESG and tax avoidance has become the focus of various international and national studies.</w:t>
      </w:r>
      <w:r w:rsidR="00382BB1" w:rsidRPr="00855207">
        <w:rPr>
          <w:rFonts w:ascii="Times New Roman" w:eastAsia="Times New Roman" w:hAnsi="Times New Roman" w:cs="Times New Roman"/>
          <w:sz w:val="24"/>
          <w:szCs w:val="24"/>
        </w:rPr>
        <w:t xml:space="preserve"> Previous research found </w:t>
      </w:r>
      <w:r w:rsidR="00CF2ACB" w:rsidRPr="00855207">
        <w:rPr>
          <w:rFonts w:ascii="Times New Roman" w:eastAsia="Times New Roman" w:hAnsi="Times New Roman" w:cs="Times New Roman"/>
          <w:sz w:val="24"/>
          <w:szCs w:val="24"/>
        </w:rPr>
        <w:t xml:space="preserve">that </w:t>
      </w:r>
      <w:r w:rsidR="00382BB1" w:rsidRPr="00855207">
        <w:rPr>
          <w:rFonts w:ascii="Times New Roman" w:eastAsia="Times New Roman" w:hAnsi="Times New Roman" w:cs="Times New Roman"/>
          <w:sz w:val="24"/>
          <w:szCs w:val="24"/>
        </w:rPr>
        <w:t xml:space="preserve">there is a tendency that strong corporate governance helps manage tax </w:t>
      </w:r>
      <w:r w:rsidR="00382BB1" w:rsidRPr="00855207">
        <w:rPr>
          <w:rFonts w:ascii="Times New Roman" w:eastAsia="Times New Roman" w:hAnsi="Times New Roman" w:cs="Times New Roman"/>
          <w:sz w:val="24"/>
          <w:szCs w:val="24"/>
        </w:rPr>
        <w:lastRenderedPageBreak/>
        <w:t xml:space="preserve">avoidance to stay at the most appropriate level for the </w:t>
      </w:r>
      <w:r w:rsidR="00301863" w:rsidRPr="00855207">
        <w:rPr>
          <w:rFonts w:ascii="Times New Roman" w:eastAsia="Times New Roman" w:hAnsi="Times New Roman" w:cs="Times New Roman"/>
          <w:sz w:val="24"/>
          <w:szCs w:val="24"/>
        </w:rPr>
        <w:t>c</w:t>
      </w:r>
      <w:r w:rsidR="00382BB1" w:rsidRPr="00855207">
        <w:rPr>
          <w:rFonts w:ascii="Times New Roman" w:eastAsia="Times New Roman" w:hAnsi="Times New Roman" w:cs="Times New Roman"/>
          <w:sz w:val="24"/>
          <w:szCs w:val="24"/>
        </w:rPr>
        <w:t>ompany</w:t>
      </w:r>
      <w:r w:rsidR="00301863" w:rsidRPr="00855207">
        <w:rPr>
          <w:rFonts w:ascii="Times New Roman" w:eastAsia="Times New Roman" w:hAnsi="Times New Roman" w:cs="Times New Roman"/>
          <w:sz w:val="24"/>
          <w:szCs w:val="24"/>
        </w:rPr>
        <w:t xml:space="preserve"> </w:t>
      </w:r>
      <w:hyperlink w:anchor="Kovermann"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{"citationItems":[{"id":"ITEM-1","itemData":{"DOI":"10.1016/j.intaccaudtax.2019.100270","ISSN":"10619518","abstract":"In this article, we review recent literature (79 articles) on the impact of corporate governance on corporate tax avoidance. Applying a stakeholder-oriented view, we find that various aspects of corporate governance, such as incentive alignment between management and shareholders, board composition, ownership structure, capital market monitoring, audit, enforcement and government relations, and other stakeholders’ pressure have a strong influence on corporate tax avoidance. Findings indicate that effective corporate governance mechanisms steer tax avoidance at its firm-specific optimal level. The classical principal-agent theory, however, fails to fully explain corporate tax avoidance as an outcome. Investigating the determinants of corporate tax avoidance requires a more comprehensive approach taking into account corporate governance institutions and all stakeholders relevant to the firm. We show that corporate governance institutions not only have the potential to increase tax avoidance, making firms more profitable, but also to limit tax avoidance to a level where the arising risks do not outweigh the benefits.","author":[{"dropping-particle":"","family":"Kovermann","given":"Jost","non-dropping-particle":"","parse-names":false,"suffix":""},{"dropping-particle":"","family":"Velte","given":"Patrick","non-dropping-particle":"","parse-names":false,"suffix":""}],"container-title":"Journal of International Accounting, Auditing and Taxation","id":"ITEM-1","issued":{"date-parts":[["2019"]]},"page":"100270","publisher":"Elsevier Inc.","title":"The impact of corporate governance on corporate tax avoidance—A literature review","type":"article-journal","volume":"36"},"uris":["http://www.mendeley.com/documents/?uuid=1cf3e9d6-12ed-4b39-b606-30cb213bb95c"]}],"mendeley":{"formattedCitation":"(Kovermann &amp; Velte, 2019)","plainTextFormattedCitation":"(Kovermann &amp; Velte, 2019)","previouslyFormattedCitation":"(Kovermann &amp; Velte, 2019)"},"properties":{"noteIndex":0},"schema":"https://github.com/citation-style-language/schema/raw/master/csl-citation.json"}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(Kovermann &amp; Velte, 2019)</w:t>
        </w:r>
        <w:r w:rsidR="00301863" w:rsidRPr="00855207">
          <w:rPr>
            <w:rStyle w:val="Hyperlink"/>
            <w:rFonts w:ascii="Times New Roman" w:eastAsia="Times New Roman" w:hAnsi="Times New Roman" w:cs="Times New Roman"/>
            <w:sz w:val="24"/>
            <w:szCs w:val="24"/>
            <w:u w:val="none"/>
          </w:rPr>
          <w:fldChar w:fldCharType="end"/>
        </w:r>
      </w:hyperlink>
      <w:r w:rsidR="00A8247F" w:rsidRPr="00855207">
        <w:rPr>
          <w:rFonts w:ascii="Times New Roman" w:eastAsia="Times New Roman" w:hAnsi="Times New Roman" w:cs="Times New Roman"/>
          <w:sz w:val="24"/>
          <w:szCs w:val="24"/>
        </w:rPr>
        <w:t>.</w:t>
      </w:r>
      <w:r w:rsidR="009D3A0E" w:rsidRPr="00855207">
        <w:rPr>
          <w:rFonts w:ascii="Times New Roman" w:eastAsia="Times New Roman" w:hAnsi="Times New Roman" w:cs="Times New Roman"/>
          <w:sz w:val="24"/>
          <w:szCs w:val="24"/>
        </w:rPr>
        <w:t xml:space="preserve"> </w:t>
      </w:r>
      <w:r w:rsidR="001B4994" w:rsidRPr="00855207">
        <w:rPr>
          <w:rFonts w:ascii="Times New Roman" w:eastAsia="Times New Roman" w:hAnsi="Times New Roman" w:cs="Times New Roman"/>
          <w:sz w:val="24"/>
          <w:szCs w:val="24"/>
        </w:rPr>
        <w:t>Not only</w:t>
      </w:r>
      <w:r w:rsidR="00FA2ED6" w:rsidRPr="00855207">
        <w:rPr>
          <w:rFonts w:ascii="Times New Roman" w:eastAsia="Times New Roman" w:hAnsi="Times New Roman" w:cs="Times New Roman"/>
          <w:sz w:val="24"/>
          <w:szCs w:val="24"/>
        </w:rPr>
        <w:t xml:space="preserve"> by</w:t>
      </w:r>
      <w:r w:rsidR="001B4994" w:rsidRPr="00855207">
        <w:rPr>
          <w:rFonts w:ascii="Times New Roman" w:eastAsia="Times New Roman" w:hAnsi="Times New Roman" w:cs="Times New Roman"/>
          <w:sz w:val="24"/>
          <w:szCs w:val="24"/>
        </w:rPr>
        <w:t xml:space="preserve"> internal governance factors, but also </w:t>
      </w:r>
      <w:r w:rsidR="00FA2ED6" w:rsidRPr="00855207">
        <w:rPr>
          <w:rFonts w:ascii="Times New Roman" w:eastAsia="Times New Roman" w:hAnsi="Times New Roman" w:cs="Times New Roman"/>
          <w:sz w:val="24"/>
          <w:szCs w:val="24"/>
        </w:rPr>
        <w:t xml:space="preserve">by </w:t>
      </w:r>
      <w:r w:rsidR="001B4994" w:rsidRPr="00855207">
        <w:rPr>
          <w:rFonts w:ascii="Times New Roman" w:eastAsia="Times New Roman" w:hAnsi="Times New Roman" w:cs="Times New Roman"/>
          <w:sz w:val="24"/>
          <w:szCs w:val="24"/>
        </w:rPr>
        <w:t xml:space="preserve">external governance factors, </w:t>
      </w:r>
      <w:r w:rsidR="00CF2ACB" w:rsidRPr="00855207">
        <w:rPr>
          <w:rFonts w:ascii="Times New Roman" w:eastAsia="Times New Roman" w:hAnsi="Times New Roman" w:cs="Times New Roman"/>
          <w:sz w:val="24"/>
          <w:szCs w:val="24"/>
        </w:rPr>
        <w:t xml:space="preserve">such as </w:t>
      </w:r>
      <w:r w:rsidR="001B4994" w:rsidRPr="00855207">
        <w:rPr>
          <w:rFonts w:ascii="Times New Roman" w:eastAsia="Times New Roman" w:hAnsi="Times New Roman" w:cs="Times New Roman"/>
          <w:sz w:val="24"/>
          <w:szCs w:val="24"/>
        </w:rPr>
        <w:t>how the government enforces tax rules and media coverage</w:t>
      </w:r>
      <w:r w:rsidR="00CF2ACB" w:rsidRPr="00855207">
        <w:rPr>
          <w:rFonts w:ascii="Times New Roman" w:eastAsia="Times New Roman" w:hAnsi="Times New Roman" w:cs="Times New Roman"/>
          <w:sz w:val="24"/>
          <w:szCs w:val="24"/>
        </w:rPr>
        <w:t>,</w:t>
      </w:r>
      <w:r w:rsidR="001B4994" w:rsidRPr="00855207">
        <w:rPr>
          <w:rFonts w:ascii="Times New Roman" w:eastAsia="Times New Roman" w:hAnsi="Times New Roman" w:cs="Times New Roman"/>
          <w:sz w:val="24"/>
          <w:szCs w:val="24"/>
        </w:rPr>
        <w:t xml:space="preserve"> affect how corporate tax avoidance </w:t>
      </w:r>
      <w:r w:rsidR="00275AB2" w:rsidRPr="00855207">
        <w:rPr>
          <w:rFonts w:ascii="Times New Roman" w:eastAsia="Times New Roman" w:hAnsi="Times New Roman" w:cs="Times New Roman"/>
          <w:sz w:val="24"/>
          <w:szCs w:val="24"/>
        </w:rPr>
        <w:t>behavior</w:t>
      </w:r>
      <w:r w:rsidR="00301863" w:rsidRPr="00855207">
        <w:rPr>
          <w:rFonts w:ascii="Times New Roman" w:eastAsia="Times New Roman" w:hAnsi="Times New Roman" w:cs="Times New Roman"/>
          <w:sz w:val="24"/>
          <w:szCs w:val="24"/>
        </w:rPr>
        <w:t xml:space="preserve"> </w:t>
      </w:r>
      <w:hyperlink w:anchor="Wang"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{"citationItems":[{"id":"ITEM-1","itemData":{"DOI":"10.1016/j.pacfin.2021.101648","ISSN":"0927538X","abstract":"We find a significant negative relationship between a firm's mixed-ownership reform intensity ratio and the degree of corporate tax avoidance in China between 2003 and 2018. The path analyses demonstrate our finding is through the channel of a firm's financial constraints and analysts' earnings forecast dispersion. Furthermore, our main results are more pronounced for firms with a high level of media coverage and located in a region of weak tax enforcement or high willingness of government decentralisation. Finally, our results remain significant after alleviating a series of endogenous tests and robustness tests. We contribute to the literature to understand the causes of a firm's tax avoidance behaviour and the consequence of the mixed-ownership reform in China.","author":[{"dropping-particle":"","family":"Wang","given":"Wei","non-dropping-particle":"","parse-names":false,"suffix":""},{"dropping-particle":"","family":"Wang","given":"Hua","non-dropping-particle":"","parse-names":false,"suffix":""},{"dropping-particle":"","family":"Wu","given":"Ji (George)","non-dropping-particle":"","parse-names":false,"suffix":""}],"container-title":"Pacific Basin Finance Journal","id":"ITEM-1","issue":"September","issued":{"date-parts":[["2021"]]},"page":"101648","publisher":"Elsevier B.V.","title":"Mixed ownership reform and corporate tax avoidance: Evidence of Chinese listed firms","type":"article-journal","volume":"69"},"uris":["http://www.mendeley.com/documents/?uuid=ab499bdc-b653-475e-9a39-fc58bc85618c"]}],"mendeley":{"formattedCitation":"(Wang et al., 2021)","plainTextFormattedCitation":"(Wang et al., 2021)","previouslyFormattedCitation":"(Wang et al., 2021)"},"properties":{"noteIndex":0},"schema":"https://github.com/citation-style-language/schema/raw/master/csl-citation.json"}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(Wang et al., 2021)</w:t>
        </w:r>
        <w:r w:rsidR="00301863" w:rsidRPr="00855207">
          <w:rPr>
            <w:rStyle w:val="Hyperlink"/>
            <w:rFonts w:ascii="Times New Roman" w:eastAsia="Times New Roman" w:hAnsi="Times New Roman" w:cs="Times New Roman"/>
            <w:sz w:val="24"/>
            <w:szCs w:val="24"/>
            <w:u w:val="none"/>
          </w:rPr>
          <w:fldChar w:fldCharType="end"/>
        </w:r>
      </w:hyperlink>
      <w:r w:rsidR="00ED6499" w:rsidRPr="00855207">
        <w:rPr>
          <w:rFonts w:ascii="Times New Roman" w:eastAsia="Times New Roman" w:hAnsi="Times New Roman" w:cs="Times New Roman"/>
          <w:sz w:val="24"/>
          <w:szCs w:val="24"/>
        </w:rPr>
        <w:t>.</w:t>
      </w:r>
    </w:p>
    <w:p w14:paraId="32DF7673" w14:textId="029233AA" w:rsidR="00AD0B47" w:rsidRPr="00855207" w:rsidRDefault="001B4994"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 xml:space="preserve">Losses due to tax avoidance encourage various stakeholders to demand corporate social responsibility. This has </w:t>
      </w:r>
      <w:r w:rsidR="00CF2ACB" w:rsidRPr="00855207">
        <w:rPr>
          <w:rFonts w:ascii="Times New Roman" w:eastAsia="Times New Roman" w:hAnsi="Times New Roman" w:cs="Times New Roman"/>
          <w:sz w:val="24"/>
          <w:szCs w:val="24"/>
        </w:rPr>
        <w:t>increased</w:t>
      </w:r>
      <w:r w:rsidRPr="00855207">
        <w:rPr>
          <w:rFonts w:ascii="Times New Roman" w:eastAsia="Times New Roman" w:hAnsi="Times New Roman" w:cs="Times New Roman"/>
          <w:sz w:val="24"/>
          <w:szCs w:val="24"/>
        </w:rPr>
        <w:t xml:space="preserve"> global </w:t>
      </w:r>
      <w:r w:rsidR="00CF2ACB" w:rsidRPr="00855207">
        <w:rPr>
          <w:rFonts w:ascii="Times New Roman" w:eastAsia="Times New Roman" w:hAnsi="Times New Roman" w:cs="Times New Roman"/>
          <w:sz w:val="24"/>
          <w:szCs w:val="24"/>
        </w:rPr>
        <w:t>companies' participation</w:t>
      </w:r>
      <w:r w:rsidRPr="00855207">
        <w:rPr>
          <w:rFonts w:ascii="Times New Roman" w:eastAsia="Times New Roman" w:hAnsi="Times New Roman" w:cs="Times New Roman"/>
          <w:sz w:val="24"/>
          <w:szCs w:val="24"/>
        </w:rPr>
        <w:t xml:space="preserve"> in socially responsible activities over the past two decades</w:t>
      </w:r>
      <w:r w:rsidR="00301863" w:rsidRPr="00855207">
        <w:rPr>
          <w:rFonts w:ascii="Times New Roman" w:eastAsia="Times New Roman" w:hAnsi="Times New Roman" w:cs="Times New Roman"/>
          <w:sz w:val="24"/>
          <w:szCs w:val="24"/>
        </w:rPr>
        <w:t xml:space="preserve"> </w:t>
      </w:r>
      <w:hyperlink w:anchor="Karavitis"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{"citationItems":[{"id":"ITEM-1","itemData":{"DOI":"10.1016/j.intaccaudtax.2025.100702","ISSN":"10619518","abstract":"We investigate the influence of CEO overconfidence on the relationship between corporate social responsibility (CSR) and tax avoidance. Prior studies on the relationship between CSR and tax avoidance find mixed results. Using granular data of listed Chinese companies, we find that firms with higher CSR scores systematically exhibit higher tax avoidance. Importantly, we find that this relationship is moderated in firms with overconfident CEOs. We contend that overconfident CEOs are less likely to strategically use CSR as a risk-management tool. Additional analysis shows that this moderating effect comes mainly from non-state-owned enterprises. Our findings stand up to a battery of sensitivity tests, including the use of CSR subdimensions. In summary, we provide consistent evidence about the moderating effect of CEO overconfidence on the relationship between CSR and tax avoidance. These results partially reconcile the mixed findings of prior empirical literature.","author":[{"dropping-particle":"","family":"Karavitis","given":"Panagiotis","non-dropping-particle":"","parse-names":false,"suffix":""},{"dropping-particle":"","family":"Kazakis","given":"Pantelis","non-dropping-particle":"","parse-names":false,"suffix":""},{"dropping-particle":"","family":"Xu","given":"Tianyue","non-dropping-particle":"","parse-names":false,"suffix":""}],"container-title":"Journal of International Accounting, Auditing and Taxation","id":"ITEM-1","issue":"May","issued":{"date-parts":[["2025"]]},"page":"100702","publisher":"Elsevier Inc.","title":"Overconfident CEOs, corporate social responsibility, and tax avoidance: Evidence from China","type":"article-journal","volume":"59"},"uris":["http://www.mendeley.com/documents/?uuid=6050cbf5-7663-4620-b4f0-ea2051c96289"]}],"mendeley":{"formattedCitation":"(Karavitis et al., 2025)","plainTextFormattedCitation":"(Karavitis et al., 2025)","previouslyFormattedCitation":"(Karavitis et al., 2025)"},"properties":{"noteIndex":0},"schema":"https://github.com/citation-style-language/schema/raw/master/csl-citation.json"}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(Karavitis et al., 2025)</w:t>
        </w:r>
        <w:r w:rsidR="00301863" w:rsidRPr="00855207">
          <w:rPr>
            <w:rStyle w:val="Hyperlink"/>
            <w:rFonts w:ascii="Times New Roman" w:eastAsia="Times New Roman" w:hAnsi="Times New Roman" w:cs="Times New Roman"/>
            <w:sz w:val="24"/>
            <w:szCs w:val="24"/>
            <w:u w:val="none"/>
          </w:rPr>
          <w:fldChar w:fldCharType="end"/>
        </w:r>
      </w:hyperlink>
      <w:r w:rsidR="00E70922" w:rsidRPr="00855207">
        <w:rPr>
          <w:rFonts w:ascii="Times New Roman" w:eastAsia="Times New Roman" w:hAnsi="Times New Roman" w:cs="Times New Roman"/>
          <w:sz w:val="24"/>
          <w:szCs w:val="24"/>
        </w:rPr>
        <w:t>.</w:t>
      </w:r>
      <w:r w:rsidR="00A8247F"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 xml:space="preserve">Some studies show that companies involved in ESG activities, especially those motivated by philanthropy, </w:t>
      </w:r>
      <w:r w:rsidR="00CF2ACB" w:rsidRPr="00855207">
        <w:rPr>
          <w:rFonts w:ascii="Times New Roman" w:eastAsia="Times New Roman" w:hAnsi="Times New Roman" w:cs="Times New Roman"/>
          <w:sz w:val="24"/>
          <w:szCs w:val="24"/>
        </w:rPr>
        <w:t>tend</w:t>
      </w:r>
      <w:r w:rsidRPr="00855207">
        <w:rPr>
          <w:rFonts w:ascii="Times New Roman" w:eastAsia="Times New Roman" w:hAnsi="Times New Roman" w:cs="Times New Roman"/>
          <w:sz w:val="24"/>
          <w:szCs w:val="24"/>
        </w:rPr>
        <w:t xml:space="preserve"> to be less aggressive in tax avoidance</w:t>
      </w:r>
      <w:r w:rsidR="00301863" w:rsidRPr="00855207">
        <w:rPr>
          <w:rFonts w:ascii="Times New Roman" w:eastAsia="Times New Roman" w:hAnsi="Times New Roman" w:cs="Times New Roman"/>
          <w:sz w:val="24"/>
          <w:szCs w:val="24"/>
        </w:rPr>
        <w:t xml:space="preserve"> </w:t>
      </w:r>
      <w:hyperlink w:anchor="Teja"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{"citationItems":[{"id":"ITEM-1","itemData":{"DOI":"10.23887/jia.v9i1.69573","ISSN":"2527-4090","abstract":"This paper aims to understand the effect of Environmental, Social, and Governance (ESG) disclosure scores on tax avoidance. The sample consists of public firms listed on the Indonesia Stock Exchange, excluding those in the financial services industry, for the period 2015-2021. We employ panel data regression methods, with the dependent variable being the total of deferred tax assets and liabilities and the independent variable being the Bloomberg ESG disclosure scores. The effect of Bloomberg ESG disclosure scores on tax avoidance is controlled by firm leverage, profitability, growth, and size. Our findings indicate that higher Bloomberg ESG disclosure scores have a positive effect on deferred tax assets relative to deferred tax liabilities. This suggests that firms with high Bloomberg ESG disclosure scores contribute to indirect stakeholders, reflecting a broader commitment beyond direct stakeholders. Additionally, we do not find statistical evidence of a significant effect of a firm's financial constraints and growth opportunities on the deferred tax assets relative to deferred tax liabilities. These results imply that tax avoidance is more influenced by a firm's commitment to ESG principles rather than its financial capabilities and growth opportunities. This research provides valuable insights for policymakers and corporate managers, highlighting the importance of ESG disclosure in shaping tax-related strategies and demonstrating a firm’s commitment to broader stakeholder engagement.","author":[{"dropping-particle":"","family":"Teja","given":"Adrian","non-dropping-particle":"","parse-names":false,"suffix":""}],"container-title":"Jurnal Ilmiah Akuntansi","id":"ITEM-1","issue":"1","issued":{"date-parts":[["2024"]]},"page":"186-209","title":"Environmental, Social and Governance Disclosure Scores and Tax Avoidance","type":"article-journal","volume":"9"},"uris":["http://www.mendeley.com/documents/?uuid=b1914a41-d204-4a54-909a-826b80ee5dd2"]}],"mendeley":{"formattedCitation":"(Teja, 2024)","plainTextFormattedCitation":"(Teja, 2024)","previouslyFormattedCitation":"(Teja, 2024)"},"properties":{"noteIndex":0},"schema":"https://github.com/citation-style-language/schema/raw/master/csl-citation.json"}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(Teja, 2024)</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 xml:space="preserve">. </w:t>
      </w:r>
      <w:r w:rsidRPr="00855207">
        <w:rPr>
          <w:rFonts w:ascii="Times New Roman" w:eastAsia="Times New Roman" w:hAnsi="Times New Roman" w:cs="Times New Roman"/>
          <w:sz w:val="24"/>
          <w:szCs w:val="24"/>
        </w:rPr>
        <w:t>Meanwhile, CSR indicates compliance with tax regulations. The higher the disclosure of corporate social responsibility in a company</w:t>
      </w:r>
      <w:r w:rsidR="00CF2ACB" w:rsidRPr="00855207">
        <w:rPr>
          <w:rFonts w:ascii="Times New Roman" w:eastAsia="Times New Roman" w:hAnsi="Times New Roman" w:cs="Times New Roman"/>
          <w:sz w:val="24"/>
          <w:szCs w:val="24"/>
        </w:rPr>
        <w:t>,</w:t>
      </w:r>
      <w:r w:rsidRPr="00855207">
        <w:rPr>
          <w:rFonts w:ascii="Times New Roman" w:eastAsia="Times New Roman" w:hAnsi="Times New Roman" w:cs="Times New Roman"/>
          <w:sz w:val="24"/>
          <w:szCs w:val="24"/>
        </w:rPr>
        <w:t xml:space="preserve"> the lower the percentage of the possibility of the company to practice tax avoidance, and vice versa</w:t>
      </w:r>
      <w:r w:rsidR="00301863" w:rsidRPr="00855207">
        <w:rPr>
          <w:rFonts w:ascii="Times New Roman" w:eastAsia="Times New Roman" w:hAnsi="Times New Roman" w:cs="Times New Roman"/>
          <w:sz w:val="24"/>
          <w:szCs w:val="24"/>
        </w:rPr>
        <w:t xml:space="preserve"> </w:t>
      </w:r>
      <w:hyperlink w:anchor="Kiryanto"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{"citationItems":[{"id":"ITEM-1","itemData":{"DOI":"10.22219/jrak.v11i2.16470","ISSN":"2088-0685","abstract":"This study aims to determine the effect of the variable profitability, company growth and institutional ownership structure on tax avoidance through corporate social responsibility. The sample used in this research is financial reports of manufacturing companies listed on the Indonesia Stock Exchange (BEI) 2016-2019, while the method in this study uses purposive sampling with a total of 32 samples of manufacturing companies. The analysis technique used is WarpPLS version 5.0. The results indicate that profitability and company growth have a positive and significant effect on corporate social responsibility, but institutional ownership structure has a negative insignificant effect on corporate social responsibility. Profitability has negative and significant impact toward tax avoidance, while company growth and institutional ownership structure has no significant impact toward tax avoidance. As for corporate social responsibility has negative and significant impact toward tax avoidance, and it could be intervening variable between company growth and tax avoidance.  The research has implications for policy makers in this case the government that CSR is able to reduce tax avoidance. Therefore, the government always encourages companies to carry out CSR in order to reduce tax avoidance in the hope that tax revenues can increase.","author":[{"dropping-particle":"","family":"Kiryanto","given":"","non-dropping-particle":"","parse-names":false,"suffix":""},{"dropping-particle":"","family":"Alfiana Rohmatika","given":"","non-dropping-particle":"","parse-names":false,"suffix":""},{"dropping-particle":"","family":"Farikha Amilahaq","given":"","non-dropping-particle":"","parse-names":false,"suffix":""}],"container-title":"Jurnal Reviu Akuntansi dan Keuangan","id":"ITEM-1","issue":"2","issued":{"date-parts":[["2021"]]},"page":"346-365","title":"Is Corporate Social Responsibility Able to Mediate Increased Tax Avoidance?","type":"article-journal","volume":"11"},"uris":["http://www.mendeley.com/documents/?uuid=9f150174-c680-4a08-bc2c-f4e516bacf73"]}],"mendeley":{"formattedCitation":"(Kiryanto et al., 2021)","plainTextFormattedCitation":"(Kiryanto et al., 2021)","previouslyFormattedCitation":"(Kiryanto et al., 2021)"},"properties":{"noteIndex":0},"schema":"https://github.com/citation-style-language/schema/raw/master/csl-citation.json"}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(Kiryanto et al., 2021)</w:t>
        </w:r>
        <w:r w:rsidR="00301863" w:rsidRPr="00855207">
          <w:rPr>
            <w:rStyle w:val="Hyperlink"/>
            <w:rFonts w:ascii="Times New Roman" w:eastAsia="Times New Roman" w:hAnsi="Times New Roman" w:cs="Times New Roman"/>
            <w:sz w:val="24"/>
            <w:szCs w:val="24"/>
            <w:u w:val="none"/>
          </w:rPr>
          <w:fldChar w:fldCharType="end"/>
        </w:r>
      </w:hyperlink>
      <w:r w:rsidR="00361DD1" w:rsidRPr="00855207">
        <w:rPr>
          <w:rFonts w:ascii="Times New Roman" w:eastAsia="Times New Roman" w:hAnsi="Times New Roman" w:cs="Times New Roman"/>
          <w:sz w:val="24"/>
          <w:szCs w:val="24"/>
        </w:rPr>
        <w:t>.</w:t>
      </w:r>
      <w:r w:rsidR="00A8247F" w:rsidRPr="00855207">
        <w:rPr>
          <w:rFonts w:ascii="Times New Roman" w:eastAsia="Times New Roman" w:hAnsi="Times New Roman" w:cs="Times New Roman"/>
          <w:sz w:val="24"/>
          <w:szCs w:val="24"/>
        </w:rPr>
        <w:t xml:space="preserve"> </w:t>
      </w:r>
    </w:p>
    <w:p w14:paraId="552B06D4" w14:textId="3DD4A1E0" w:rsidR="00AD0B47" w:rsidRPr="00855207" w:rsidRDefault="001B4994" w:rsidP="00F428C4">
      <w:pPr>
        <w:pBdr>
          <w:top w:val="nil"/>
          <w:left w:val="nil"/>
          <w:bottom w:val="nil"/>
          <w:right w:val="nil"/>
          <w:between w:val="nil"/>
        </w:pBdr>
        <w:spacing w:after="0"/>
        <w:ind w:firstLine="426"/>
        <w:contextualSpacing/>
        <w:jc w:val="both"/>
        <w:rPr>
          <w:rFonts w:ascii="Times New Roman" w:eastAsia="Times New Roman" w:hAnsi="Times New Roman" w:cs="Times New Roman"/>
          <w:sz w:val="24"/>
          <w:szCs w:val="24"/>
        </w:rPr>
      </w:pPr>
      <w:r w:rsidRPr="00855207">
        <w:rPr>
          <w:rFonts w:ascii="Times New Roman" w:eastAsia="Times New Roman" w:hAnsi="Times New Roman" w:cs="Times New Roman"/>
          <w:sz w:val="24"/>
          <w:szCs w:val="24"/>
        </w:rPr>
        <w:t xml:space="preserve">In terms of green energy, many countries provide tax incentives to companies that invest in clean technologies and environmentally friendly practices to encourage the transition to a low-carbon economy. </w:t>
      </w:r>
      <w:r w:rsidR="00D72012" w:rsidRPr="00855207">
        <w:rPr>
          <w:rFonts w:ascii="Times New Roman" w:eastAsia="Times New Roman" w:hAnsi="Times New Roman" w:cs="Times New Roman"/>
          <w:sz w:val="24"/>
          <w:szCs w:val="24"/>
        </w:rPr>
        <w:t xml:space="preserve">Such incentives not only enhance </w:t>
      </w:r>
      <w:r w:rsidR="00CF2ACB" w:rsidRPr="00855207">
        <w:rPr>
          <w:rFonts w:ascii="Times New Roman" w:eastAsia="Times New Roman" w:hAnsi="Times New Roman" w:cs="Times New Roman"/>
          <w:sz w:val="24"/>
          <w:szCs w:val="24"/>
        </w:rPr>
        <w:t>firms'</w:t>
      </w:r>
      <w:r w:rsidR="00D72012" w:rsidRPr="00855207">
        <w:rPr>
          <w:rFonts w:ascii="Times New Roman" w:eastAsia="Times New Roman" w:hAnsi="Times New Roman" w:cs="Times New Roman"/>
          <w:sz w:val="24"/>
          <w:szCs w:val="24"/>
        </w:rPr>
        <w:t xml:space="preserve"> environmental performance but also reduce the incentive for tax avoidance, thereby influencing corporate tax strategies</w:t>
      </w:r>
      <w:r w:rsidR="00301863" w:rsidRPr="00855207">
        <w:rPr>
          <w:rFonts w:ascii="Times New Roman" w:eastAsia="Times New Roman" w:hAnsi="Times New Roman" w:cs="Times New Roman"/>
          <w:sz w:val="24"/>
          <w:szCs w:val="24"/>
        </w:rPr>
        <w:t xml:space="preserve"> </w:t>
      </w:r>
      <w:hyperlink w:anchor="Souguir"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{"citationItems":[{"id":"ITEM-1","itemData":{"DOI":"10.1016/j.jclepro.2023.140152","ISSN":"09596526","abstract":"This study examines the impact of environmental performance on tax avoidance separately and then moderated by institutional and family ownership. Based on a sample of 222 French firms from 2009 to 2021, the results show that environmental performance is positively associated with tax avoidance. Moreover, the study reveals that this relationship is significantly moderated by institutional and family ownership. Specifically, institutional investors and family shareholders separately amplify the positive impact of environmental performance on tax avoidance. The research also presents further evidence indicating that all three dimensions of environmental performance—resource consumption, emissions, and eco-innovation—are positively linked to tax avoidance. Notably, this effect becomes prominent post the Paris Agreement. Even when accounting for the impact of major financial crises such as the Great Financial Crisis and the COVID-19 pandemic, the findings remain consistent. These results maintain their robustness when alternative measures of tax avoidance are considered. Overall, this study provides valuable insights with implications for regulators, authorities, and investors.","author":[{"dropping-particle":"","family":"Souguir","given":"Zahra","non-dropping-particle":"","parse-names":false,"suffix":""},{"dropping-particle":"","family":"Lassoued","given":"Naima","non-dropping-particle":"","parse-names":false,"suffix":""},{"dropping-particle":"","family":"Khanchel","given":"Imen","non-dropping-particle":"","parse-names":false,"suffix":""},{"dropping-particle":"","family":"Bouzgarrou","given":"Houssam","non-dropping-particle":"","parse-names":false,"suffix":""}],"container-title":"Journal of Cleaner Production","id":"ITEM-1","issue":"July 2023","issued":{"date-parts":[["2024"]]},"page":"140152","publisher":"Elsevier Ltd","title":"Environmental performance and corporate tax avoidance: Greenwashing policy or eco-responsibility? The moderating role of ownership structure","type":"article-journal","volume":"434"},"uris":["http://www.mendeley.com/documents/?uuid=44d3c7cb-d8fb-4df5-80e9-02a712cdb279"]}],"mendeley":{"formattedCitation":"(Souguir et al., 2024)","plainTextFormattedCitation":"(Souguir et al., 2024)","previouslyFormattedCitation":"(Souguir et al., 2024)"},"properties":{"noteIndex":0},"schema":"https://github.com/citation-style-language/schema/raw/master/csl-citation.json"}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(Souguir et al., 2024)</w:t>
        </w:r>
        <w:r w:rsidR="00301863" w:rsidRPr="00855207">
          <w:rPr>
            <w:rStyle w:val="Hyperlink"/>
            <w:rFonts w:ascii="Times New Roman" w:eastAsia="Times New Roman" w:hAnsi="Times New Roman" w:cs="Times New Roman"/>
            <w:sz w:val="24"/>
            <w:szCs w:val="24"/>
            <w:u w:val="none"/>
          </w:rPr>
          <w:fldChar w:fldCharType="end"/>
        </w:r>
      </w:hyperlink>
      <w:r w:rsidR="00AD0B47" w:rsidRPr="00855207">
        <w:rPr>
          <w:rFonts w:ascii="Times New Roman" w:eastAsia="Times New Roman" w:hAnsi="Times New Roman" w:cs="Times New Roman"/>
          <w:sz w:val="24"/>
          <w:szCs w:val="24"/>
        </w:rPr>
        <w:t xml:space="preserve">. </w:t>
      </w:r>
      <w:r w:rsidR="00D72012" w:rsidRPr="00855207">
        <w:rPr>
          <w:rFonts w:ascii="Times New Roman" w:eastAsia="Times New Roman" w:hAnsi="Times New Roman" w:cs="Times New Roman"/>
          <w:sz w:val="24"/>
          <w:szCs w:val="24"/>
        </w:rPr>
        <w:t>Nevertheless, empirical findings remain inconsistent</w:t>
      </w:r>
      <w:r w:rsidRPr="00855207">
        <w:rPr>
          <w:rFonts w:ascii="Times New Roman" w:eastAsia="Times New Roman" w:hAnsi="Times New Roman" w:cs="Times New Roman"/>
          <w:sz w:val="24"/>
          <w:szCs w:val="24"/>
        </w:rPr>
        <w:t xml:space="preserve">. Some studies indicate that ESG can be </w:t>
      </w:r>
      <w:r w:rsidR="00275AB2" w:rsidRPr="00855207">
        <w:rPr>
          <w:rFonts w:ascii="Times New Roman" w:eastAsia="Times New Roman" w:hAnsi="Times New Roman" w:cs="Times New Roman"/>
          <w:sz w:val="24"/>
          <w:szCs w:val="24"/>
        </w:rPr>
        <w:t>utilized</w:t>
      </w:r>
      <w:r w:rsidRPr="00855207">
        <w:rPr>
          <w:rFonts w:ascii="Times New Roman" w:eastAsia="Times New Roman" w:hAnsi="Times New Roman" w:cs="Times New Roman"/>
          <w:sz w:val="24"/>
          <w:szCs w:val="24"/>
        </w:rPr>
        <w:t xml:space="preserve"> as a </w:t>
      </w:r>
      <w:r w:rsidR="00275AB2" w:rsidRPr="00855207">
        <w:rPr>
          <w:rFonts w:ascii="Times New Roman" w:eastAsia="Times New Roman" w:hAnsi="Times New Roman" w:cs="Times New Roman"/>
          <w:sz w:val="24"/>
          <w:szCs w:val="24"/>
        </w:rPr>
        <w:t>legitimizing</w:t>
      </w:r>
      <w:r w:rsidRPr="00855207">
        <w:rPr>
          <w:rFonts w:ascii="Times New Roman" w:eastAsia="Times New Roman" w:hAnsi="Times New Roman" w:cs="Times New Roman"/>
          <w:sz w:val="24"/>
          <w:szCs w:val="24"/>
        </w:rPr>
        <w:t xml:space="preserve"> tool to mask tax avoidance practices (window dressing). </w:t>
      </w:r>
      <w:r w:rsidR="0044679E" w:rsidRPr="00855207">
        <w:rPr>
          <w:rFonts w:ascii="Times New Roman" w:eastAsia="Times New Roman" w:hAnsi="Times New Roman" w:cs="Times New Roman"/>
          <w:sz w:val="24"/>
          <w:szCs w:val="24"/>
        </w:rPr>
        <w:t>CSR disclosure has likewise been found to enhance tax avoidance, suggesting the existence of a trade-off between the two</w:t>
      </w:r>
      <w:r w:rsidR="00301863" w:rsidRPr="00855207">
        <w:rPr>
          <w:rFonts w:ascii="Times New Roman" w:eastAsia="Times New Roman" w:hAnsi="Times New Roman" w:cs="Times New Roman"/>
          <w:sz w:val="24"/>
          <w:szCs w:val="24"/>
        </w:rPr>
        <w:t xml:space="preserve"> </w:t>
      </w:r>
      <w:hyperlink w:anchor="Widiant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{"citationItems":[{"id":"ITEM-1","itemData":{"DOI":"10.15294/aaj.v12i3.70867","ISSN":"2252-6765","abstract":"Purpose: The purpose of this study is to examine the impact of corporate social responsibility (CSR) and corporate governance on tax avoidance.\r Method: This empirical study uses a database from Bloomberg within all companies listed on Indonesia Stock Exchange excluding this sector: finance; property and real estate. The initial sample includes 25 companies with 5 years of observation from 2017 to 2021 and in total there are 125 research samples. In order to test the impact of CSR and corporate governance on tax avoidance, this research uses multiple linear regression.\r Findings: The result shows that CSR disclosure increases tax avoidance which indicates that there is a trade-off between CSR disclosure and tax. But this research design does not find evidence that corporate governance has an impact on tax avoidance which means that corporate governance can not mitigate tax avoidance.\r Novelty: Some previous research based on GRI Index for measuring CSR and using some proxy such as board independence, audit quality, audit committee for measuring corporate governance. This study using Environmental and Social Disclosure Score for measuring Practice of CSR and using Governance Disclosure Score for measuring Corporate Governance.","author":[{"dropping-particle":"","family":"Widianti","given":"Faradila Dyah Ayu","non-dropping-particle":"","parse-names":false,"suffix":""},{"dropping-particle":"","family":"Prasetyo","given":"Andrian Budi","non-dropping-particle":"","parse-names":false,"suffix":""}],"container-title":"Accounting Analysis Journal","id":"ITEM-1","issue":"3","issued":{"date-parts":[["2023"]]},"page":"165-176","title":"Do Corporate Social Responsibility and Corporate Governance Disclosures Affect Tax Avoidance?","type":"article-journal","volume":"12"},"uris":["http://www.mendeley.com/documents/?uuid=a2d595b0-530d-4a6c-b98d-90ec48397d05"]}],"mendeley":{"formattedCitation":"(Widianti &amp; Prasetyo, 2023)","plainTextFormattedCitation":"(Widianti &amp; Prasetyo, 2023)","previouslyFormattedCitation":"(Widianti &amp; Prasetyo, 2023)"},"properties":{"noteIndex":0},"schema":"https://github.com/citation-style-language/schema/raw/master/csl-citation.json"}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(Widianti &amp; Prasetyo, 2023)</w:t>
        </w:r>
        <w:r w:rsidR="00301863" w:rsidRPr="00855207">
          <w:rPr>
            <w:rStyle w:val="Hyperlink"/>
            <w:rFonts w:ascii="Times New Roman" w:eastAsia="Times New Roman" w:hAnsi="Times New Roman" w:cs="Times New Roman"/>
            <w:sz w:val="24"/>
            <w:szCs w:val="24"/>
            <w:u w:val="none"/>
          </w:rPr>
          <w:fldChar w:fldCharType="end"/>
        </w:r>
      </w:hyperlink>
      <w:r w:rsidR="00AD0B47" w:rsidRPr="00855207">
        <w:rPr>
          <w:rFonts w:ascii="Times New Roman" w:eastAsia="Times New Roman" w:hAnsi="Times New Roman" w:cs="Times New Roman"/>
          <w:sz w:val="24"/>
          <w:szCs w:val="24"/>
        </w:rPr>
        <w:t xml:space="preserve">. </w:t>
      </w:r>
      <w:r w:rsidR="00914724" w:rsidRPr="00855207">
        <w:rPr>
          <w:rFonts w:ascii="Times New Roman" w:eastAsia="Times New Roman" w:hAnsi="Times New Roman" w:cs="Times New Roman"/>
          <w:sz w:val="24"/>
          <w:szCs w:val="24"/>
        </w:rPr>
        <w:t>Corporate governance responsibility can also increase tax aggressiveness. Doing good through governance responsibilities can make companies feel safe to engage in aggressive tax planning</w:t>
      </w:r>
      <w:r w:rsidR="00301863" w:rsidRPr="00855207">
        <w:rPr>
          <w:rFonts w:ascii="Times New Roman" w:eastAsia="Times New Roman" w:hAnsi="Times New Roman" w:cs="Times New Roman"/>
          <w:sz w:val="24"/>
          <w:szCs w:val="24"/>
        </w:rPr>
        <w:t xml:space="preserve"> </w:t>
      </w:r>
      <w:hyperlink w:anchor="Ekawati"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{"citationItems":[{"id":"ITEM-1","itemData":{"DOI":"10.22146/jieb.v40i1.10099","ISSN":"23385847","abstract":"Introduction/Main Objectives: Sustainable firms should develop competitiveness by seeking interconnections between financial and non-financial goals. This research investigates the halo effect to shed light on the motives behind environmental, social, and governance (ESG) responsibility and tax aggressiveness engaged in by the firms dealing with real earnings management (REM). Background Problems: Do higher ESG scores improve corporate value due to corporate credibility and ethical practices, or due to the motive of doing good to cover up irresponsible practices? Novelty: Only a few studies have investigated the motivation of Indonesian companies in carrying out ESG, associated with REM and tax aggressiveness to test for a halo effect. Research Methods: This study is based on a sample of manufacturing companies listed on the Indonesia Stock Exchange between 2015 and 2019. Panel data regression models are used in testing the hypotheses. Finding/ Results: ESG scores have a positive effect on market value. The halo effect is present in manufacturing firms practicing REM. Firms entering into REM have significantly higher ESG scores. REM has a negative effect while ESG scores have a positive effect on tax aggressiveness. Conclusion: ESG scores could increase firms' value. However, the presence of the halo effect results in higher ESG scores for firms engaging in REM. The REM activity prevents firms from aggressive tax planning, while governance responsibility encourages them to do so. The halo effect opens up the opportunity to engage in REM and tax aggressiveness. Thus, the government requires scrutiny considerations in order to avoid the unfavorable side effects of ESG enforcement.","author":[{"dropping-particle":"","family":"Ekawati","given":"Erni","non-dropping-particle":"","parse-names":false,"suffix":""}],"container-title":"Journal of Indonesian Economy and Business","id":"ITEM-1","issue":"1","issued":{"date-parts":[["2025"]]},"page":"75-107","title":"The Relationships Between Esg Responsibility, Earnings Management, and Tax Aggressiveness: Evidence of the Halo Effect From Indonesia","type":"article-journal","volume":"40"},"uris":["http://www.mendeley.com/documents/?uuid=03f16c39-5e13-4627-aeaf-707a2bda6fd9"]}],"mendeley":{"formattedCitation":"(Ekawati, 2025)","plainTextFormattedCitation":"(Ekawati, 2025)","previouslyFormattedCitation":"(Ekawati, 2025)"},"properties":{"noteIndex":0},"schema":"https://github.com/citation-style-language/schema/raw/master/csl-citation.json"}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301863" w:rsidRPr="00855207">
          <w:rPr>
            <w:rStyle w:val="Hyperlink"/>
            <w:rFonts w:ascii="Times New Roman" w:eastAsia="Times New Roman" w:hAnsi="Times New Roman" w:cs="Times New Roman"/>
            <w:noProof/>
            <w:sz w:val="24"/>
            <w:szCs w:val="24"/>
            <w:u w:val="none"/>
          </w:rPr>
          <w:t>(Ekawati, 2025)</w:t>
        </w:r>
        <w:r w:rsidR="00301863" w:rsidRPr="00855207">
          <w:rPr>
            <w:rStyle w:val="Hyperlink"/>
            <w:rFonts w:ascii="Times New Roman" w:eastAsia="Times New Roman" w:hAnsi="Times New Roman" w:cs="Times New Roman"/>
            <w:sz w:val="24"/>
            <w:szCs w:val="24"/>
            <w:u w:val="none"/>
          </w:rPr>
          <w:fldChar w:fldCharType="end"/>
        </w:r>
      </w:hyperlink>
      <w:r w:rsidR="00AD0B47" w:rsidRPr="00855207">
        <w:rPr>
          <w:rFonts w:ascii="Times New Roman" w:eastAsia="Times New Roman" w:hAnsi="Times New Roman" w:cs="Times New Roman"/>
          <w:sz w:val="24"/>
          <w:szCs w:val="24"/>
        </w:rPr>
        <w:t>.</w:t>
      </w:r>
    </w:p>
    <w:p w14:paraId="26E46757" w14:textId="77777777" w:rsidR="00361DD1" w:rsidRPr="0099292E" w:rsidRDefault="00361DD1" w:rsidP="00542793">
      <w:p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p>
    <w:p w14:paraId="0A75C7F2" w14:textId="6FFB3E0B" w:rsidR="00133893" w:rsidRPr="0099292E" w:rsidRDefault="00571887" w:rsidP="00542793">
      <w:pPr>
        <w:numPr>
          <w:ilvl w:val="0"/>
          <w:numId w:val="1"/>
        </w:numPr>
        <w:pBdr>
          <w:top w:val="nil"/>
          <w:left w:val="nil"/>
          <w:bottom w:val="nil"/>
          <w:right w:val="nil"/>
          <w:between w:val="nil"/>
        </w:pBdr>
        <w:spacing w:after="0"/>
        <w:ind w:left="426" w:hanging="426"/>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w:t>
      </w:r>
    </w:p>
    <w:p w14:paraId="35FB11C1" w14:textId="3F23C10A" w:rsidR="001B4994" w:rsidRPr="0099292E" w:rsidRDefault="00D72012" w:rsidP="006C4726">
      <w:pPr>
        <w:spacing w:after="0"/>
        <w:ind w:firstLine="425"/>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This study adopts a qualitative approach through a Systematic Literature Review (SLR)</w:t>
      </w:r>
      <w:r w:rsidR="000A73EA" w:rsidRPr="0099292E">
        <w:rPr>
          <w:rFonts w:ascii="Times New Roman" w:eastAsia="Times New Roman" w:hAnsi="Times New Roman" w:cs="Times New Roman"/>
          <w:sz w:val="24"/>
          <w:szCs w:val="24"/>
        </w:rPr>
        <w:t xml:space="preserve">. This method provides a </w:t>
      </w:r>
      <w:r w:rsidR="009A08C3">
        <w:rPr>
          <w:rFonts w:ascii="Times New Roman" w:eastAsia="Times New Roman" w:hAnsi="Times New Roman" w:cs="Times New Roman"/>
          <w:sz w:val="24"/>
          <w:szCs w:val="24"/>
        </w:rPr>
        <w:t>more comprehensive</w:t>
      </w:r>
      <w:r w:rsidR="000A73EA" w:rsidRPr="0099292E">
        <w:rPr>
          <w:rFonts w:ascii="Times New Roman" w:eastAsia="Times New Roman" w:hAnsi="Times New Roman" w:cs="Times New Roman"/>
          <w:sz w:val="24"/>
          <w:szCs w:val="24"/>
        </w:rPr>
        <w:t xml:space="preserve"> understanding of ESG issues and their influence on tax avoidance. </w:t>
      </w:r>
      <w:r w:rsidRPr="0099292E">
        <w:rPr>
          <w:rFonts w:ascii="Times New Roman" w:eastAsia="Times New Roman" w:hAnsi="Times New Roman" w:cs="Times New Roman"/>
          <w:sz w:val="24"/>
          <w:szCs w:val="24"/>
        </w:rPr>
        <w:t xml:space="preserve">Articles were selected using the Population, </w:t>
      </w:r>
      <w:r w:rsidRPr="00855207">
        <w:rPr>
          <w:rFonts w:ascii="Times New Roman" w:eastAsia="Times New Roman" w:hAnsi="Times New Roman" w:cs="Times New Roman"/>
          <w:sz w:val="24"/>
          <w:szCs w:val="24"/>
        </w:rPr>
        <w:t>Intervention, Comparison, Outcome (PICO) framework, following its application in prior research</w:t>
      </w:r>
      <w:r w:rsidR="000A73EA" w:rsidRPr="00855207">
        <w:rPr>
          <w:rFonts w:ascii="Times New Roman" w:eastAsia="Times New Roman" w:hAnsi="Times New Roman" w:cs="Times New Roman"/>
          <w:sz w:val="24"/>
          <w:szCs w:val="24"/>
        </w:rPr>
        <w:t xml:space="preserve"> conducted by</w:t>
      </w:r>
      <w:r w:rsidR="009D117C" w:rsidRPr="00855207">
        <w:rPr>
          <w:rFonts w:ascii="Times New Roman" w:eastAsia="Times New Roman" w:hAnsi="Times New Roman" w:cs="Times New Roman"/>
          <w:sz w:val="24"/>
          <w:szCs w:val="24"/>
        </w:rPr>
        <w:t xml:space="preserve"> </w:t>
      </w:r>
      <w:hyperlink w:anchor="Mawlidy" w:history="1">
        <w:r w:rsidR="00301863" w:rsidRPr="00855207">
          <w:rPr>
            <w:rStyle w:val="Hyperlink"/>
            <w:rFonts w:ascii="Times New Roman" w:eastAsia="Times New Roman" w:hAnsi="Times New Roman" w:cs="Times New Roman"/>
            <w:sz w:val="24"/>
            <w:szCs w:val="24"/>
            <w:u w:val="none"/>
          </w:rPr>
          <w:fldChar w:fldCharType="begin" w:fldLock="1"/>
        </w:r>
        <w:r w:rsidR="00301863" w:rsidRPr="00855207">
          <w:rPr>
            <w:rStyle w:val="Hyperlink"/>
            <w:rFonts w:ascii="Times New Roman" w:eastAsia="Times New Roman" w:hAnsi="Times New Roman" w:cs="Times New Roman"/>
            <w:sz w:val="24"/>
            <w:szCs w:val="24"/>
            <w:u w:val="none"/>
          </w:rPr>
          <w:instrText>ADDIN CSL_CITATION {"citationItems":[{"id":"ITEM-1","itemData":{"DOI":"10.29303/akurasi.v7i1.488","ISSN":"2685-1059","abstract":"Penelitian ini bertujuan untuk mengetahui peran Artificial Intelligence (AI) dalam mendeteksi kecurangan keuangan pada audit. Ketika auditor semakin mengandalkan teknologi AI untuk memproses data dalam jumlah besar, memastikan kerahasiaan dan integritas data tersebut menjadi sangat krusial. Penelitian dilakukan dengan mengumpulkan 16 artikel dari jurnal bereputasi yang diterbitkan tahun 2018-2024, yang diklasifikasikan berdasarkan metode yang digunakan dan hasil penelitian. Metode Systematic Literature Review (SLR) digunakan untuk memeriksa hasil, metodologi, topik/tema, rekomendasi, dan keterbatasan dari artikel yang dipublikasikan. Hasil analisis memberikan bukti bahwa Artificial Intelligence (AI) memiliki dampak yang positif dalam mendeteksi kecurangan keuangan pada audit. Bentuk AI yang telah diimplementasikan pada perusahaan, yaitu Artificial Neural Network (ANN) dan Machine Learning. Terlepas dari potensi manfaatnya, implementasi AI dalam audit bukan tanpa masalah. Masalah privasi, keamanan data, dan pertimbangan etis meliputi penggunaan informasi sensitif merupakan faktor krusial yang harus ditangani.","author":[{"dropping-particle":"","family":"Mawlidy","given":"Ervian Ridho","non-dropping-particle":"","parse-names":false,"suffix":""},{"dropping-particle":"","family":"Dio","given":"Rieswandha","non-dropping-particle":"","parse-names":false,"suffix":""},{"dropping-particle":"","family":"Lorensa","given":"Like","non-dropping-particle":"","parse-names":false,"suffix":""}],"container-title":"Akurasi : Jurnal Studi Akuntansi dan Keuangan","id":"ITEM-1","issue":"1","issued":{"date-parts":[["2024","6","24"]]},"page":"89-104","title":"KEMAMPUAN ARTIFICAL INTELLIGENCE TERHADAP PENDETEKSIAN FRAUD: STUDI LITERATUR","type":"article-journal","volume":"7"},"uris":["http://www.mendeley.com/documents/?uuid=635a9200-4cc7-4b72-8d33-9fa1d3b807a4"]}],"mendeley":{"formattedCitation":"(Mawlidy et al., 2024)","manualFormatting":"Mawlidy et al., (2024)","plainTextFormattedCitation":"(Mawlidy et al., 2024)","previouslyFormattedCitation":"(Mawlidy et al., 2024)"},"properties":{"noteIndex":0},"schema":"https://github.com/citation-style-language/schema/raw/master/csl-citation.json"}</w:instrText>
        </w:r>
        <w:r w:rsidR="00301863" w:rsidRPr="00855207">
          <w:rPr>
            <w:rStyle w:val="Hyperlink"/>
            <w:rFonts w:ascii="Times New Roman" w:eastAsia="Times New Roman" w:hAnsi="Times New Roman" w:cs="Times New Roman"/>
            <w:sz w:val="24"/>
            <w:szCs w:val="24"/>
            <w:u w:val="none"/>
          </w:rPr>
          <w:fldChar w:fldCharType="separate"/>
        </w:r>
        <w:r w:rsidR="009D7FF5" w:rsidRPr="00855207">
          <w:rPr>
            <w:rStyle w:val="Hyperlink"/>
            <w:rFonts w:ascii="Times New Roman" w:eastAsia="Times New Roman" w:hAnsi="Times New Roman" w:cs="Times New Roman"/>
            <w:noProof/>
            <w:sz w:val="24"/>
            <w:szCs w:val="24"/>
            <w:u w:val="none"/>
          </w:rPr>
          <w:t>Mawlidy et al.</w:t>
        </w:r>
        <w:r w:rsidR="00301863" w:rsidRPr="00855207">
          <w:rPr>
            <w:rStyle w:val="Hyperlink"/>
            <w:rFonts w:ascii="Times New Roman" w:eastAsia="Times New Roman" w:hAnsi="Times New Roman" w:cs="Times New Roman"/>
            <w:noProof/>
            <w:sz w:val="24"/>
            <w:szCs w:val="24"/>
            <w:u w:val="none"/>
          </w:rPr>
          <w:t xml:space="preserve"> (2024)</w:t>
        </w:r>
        <w:r w:rsidR="00301863" w:rsidRPr="00855207">
          <w:rPr>
            <w:rStyle w:val="Hyperlink"/>
            <w:rFonts w:ascii="Times New Roman" w:eastAsia="Times New Roman" w:hAnsi="Times New Roman" w:cs="Times New Roman"/>
            <w:sz w:val="24"/>
            <w:szCs w:val="24"/>
            <w:u w:val="none"/>
          </w:rPr>
          <w:fldChar w:fldCharType="end"/>
        </w:r>
      </w:hyperlink>
      <w:hyperlink w:anchor="Mawlidy" w:history="1">
        <w:r w:rsidR="00521BCF" w:rsidRPr="00855207">
          <w:t>.</w:t>
        </w:r>
      </w:hyperlink>
      <w:r w:rsidR="000A73EA" w:rsidRPr="00855207">
        <w:rPr>
          <w:rFonts w:ascii="Times New Roman" w:eastAsia="Times New Roman" w:hAnsi="Times New Roman" w:cs="Times New Roman"/>
          <w:sz w:val="24"/>
          <w:szCs w:val="24"/>
        </w:rPr>
        <w:t xml:space="preserve"> </w:t>
      </w:r>
      <w:r w:rsidR="009D117C" w:rsidRPr="00855207">
        <w:rPr>
          <w:rFonts w:ascii="Times New Roman" w:eastAsia="Times New Roman" w:hAnsi="Times New Roman" w:cs="Times New Roman"/>
          <w:sz w:val="24"/>
          <w:szCs w:val="24"/>
        </w:rPr>
        <w:t xml:space="preserve">The population comprises articles published in Sinta-1 and Sinta-2 accredited journals listed on the official Sinta portal </w:t>
      </w:r>
      <w:r w:rsidR="001B4994" w:rsidRPr="00855207">
        <w:rPr>
          <w:rFonts w:ascii="Times New Roman" w:eastAsia="Times New Roman" w:hAnsi="Times New Roman" w:cs="Times New Roman"/>
          <w:sz w:val="24"/>
          <w:szCs w:val="24"/>
        </w:rPr>
        <w:t xml:space="preserve">https://sinta.kemdikbud.go.id/page. </w:t>
      </w:r>
      <w:r w:rsidR="009D117C" w:rsidRPr="00855207">
        <w:rPr>
          <w:rFonts w:ascii="Times New Roman" w:eastAsia="Times New Roman" w:hAnsi="Times New Roman" w:cs="Times New Roman"/>
          <w:sz w:val="24"/>
          <w:szCs w:val="24"/>
        </w:rPr>
        <w:t>These journals were chosen because Sinta-1 and Sinta-2 represent the highest-quality accredited publications in Indonesia, as recognized by the Ministry of Research, Technology, and Higher Education of Indonesia</w:t>
      </w:r>
      <w:r w:rsidR="001B4994" w:rsidRPr="00855207">
        <w:rPr>
          <w:rFonts w:ascii="Times New Roman" w:eastAsia="Times New Roman" w:hAnsi="Times New Roman" w:cs="Times New Roman"/>
          <w:sz w:val="24"/>
          <w:szCs w:val="24"/>
        </w:rPr>
        <w:t xml:space="preserve">. The sample in this study </w:t>
      </w:r>
      <w:r w:rsidR="00CF2ACB" w:rsidRPr="00855207">
        <w:rPr>
          <w:rFonts w:ascii="Times New Roman" w:eastAsia="Times New Roman" w:hAnsi="Times New Roman" w:cs="Times New Roman"/>
          <w:sz w:val="24"/>
          <w:szCs w:val="24"/>
        </w:rPr>
        <w:t>is</w:t>
      </w:r>
      <w:r w:rsidR="001B4994" w:rsidRPr="00855207">
        <w:rPr>
          <w:rFonts w:ascii="Times New Roman" w:eastAsia="Times New Roman" w:hAnsi="Times New Roman" w:cs="Times New Roman"/>
          <w:sz w:val="24"/>
          <w:szCs w:val="24"/>
        </w:rPr>
        <w:t xml:space="preserve"> articles in accessible Accounting, Management, Business, and Economics Journals</w:t>
      </w:r>
      <w:r w:rsidR="001B4994" w:rsidRPr="0099292E">
        <w:rPr>
          <w:rFonts w:ascii="Times New Roman" w:eastAsia="Times New Roman" w:hAnsi="Times New Roman" w:cs="Times New Roman"/>
          <w:sz w:val="24"/>
          <w:szCs w:val="24"/>
        </w:rPr>
        <w:t xml:space="preserve"> that examine tax avoidance as the dependent variable, and ESG elements that </w:t>
      </w:r>
      <w:r w:rsidR="009A08C3">
        <w:rPr>
          <w:rFonts w:ascii="Times New Roman" w:eastAsia="Times New Roman" w:hAnsi="Times New Roman" w:cs="Times New Roman"/>
          <w:sz w:val="24"/>
          <w:szCs w:val="24"/>
        </w:rPr>
        <w:t>various measures can represent</w:t>
      </w:r>
      <w:r w:rsidR="001B4994" w:rsidRPr="0099292E">
        <w:rPr>
          <w:rFonts w:ascii="Times New Roman" w:eastAsia="Times New Roman" w:hAnsi="Times New Roman" w:cs="Times New Roman"/>
          <w:sz w:val="24"/>
          <w:szCs w:val="24"/>
        </w:rPr>
        <w:t xml:space="preserve"> as independent variables. </w:t>
      </w:r>
    </w:p>
    <w:p w14:paraId="448C510B" w14:textId="77777777" w:rsidR="00597874" w:rsidRPr="0099292E" w:rsidRDefault="00597874" w:rsidP="00013F71">
      <w:pPr>
        <w:spacing w:after="0"/>
        <w:ind w:firstLine="426"/>
        <w:contextualSpacing/>
        <w:jc w:val="both"/>
        <w:rPr>
          <w:rFonts w:ascii="Times New Roman" w:eastAsia="Times New Roman" w:hAnsi="Times New Roman" w:cs="Times New Roman"/>
          <w:sz w:val="24"/>
          <w:szCs w:val="24"/>
        </w:rPr>
      </w:pPr>
    </w:p>
    <w:p w14:paraId="3A2949C2" w14:textId="77777777" w:rsidR="00EF42DC" w:rsidRDefault="00EF42DC">
      <w:pPr>
        <w:rPr>
          <w:rFonts w:ascii="Times New Roman" w:hAnsi="Times New Roman" w:cs="Times New Roman"/>
          <w:b/>
          <w:bCs/>
          <w:color w:val="000000" w:themeColor="text1"/>
        </w:rPr>
      </w:pPr>
      <w:r>
        <w:rPr>
          <w:rFonts w:ascii="Times New Roman" w:hAnsi="Times New Roman" w:cs="Times New Roman"/>
          <w:b/>
          <w:bCs/>
          <w:i/>
          <w:iCs/>
          <w:color w:val="000000" w:themeColor="text1"/>
        </w:rPr>
        <w:br w:type="page"/>
      </w:r>
    </w:p>
    <w:p w14:paraId="6ED338FB" w14:textId="0757461C" w:rsidR="00597874" w:rsidRPr="0075688F" w:rsidRDefault="00597874" w:rsidP="0075688F">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75688F">
        <w:rPr>
          <w:rFonts w:ascii="Times New Roman" w:hAnsi="Times New Roman" w:cs="Times New Roman"/>
          <w:b/>
          <w:bCs/>
          <w:i w:val="0"/>
          <w:iCs w:val="0"/>
          <w:color w:val="000000" w:themeColor="text1"/>
          <w:sz w:val="24"/>
          <w:szCs w:val="24"/>
        </w:rPr>
        <w:lastRenderedPageBreak/>
        <w:t>Tabl</w:t>
      </w:r>
      <w:r w:rsidR="001F50EF" w:rsidRPr="0075688F">
        <w:rPr>
          <w:rFonts w:ascii="Times New Roman" w:hAnsi="Times New Roman" w:cs="Times New Roman"/>
          <w:b/>
          <w:bCs/>
          <w:i w:val="0"/>
          <w:iCs w:val="0"/>
          <w:color w:val="000000" w:themeColor="text1"/>
          <w:sz w:val="24"/>
          <w:szCs w:val="24"/>
        </w:rPr>
        <w:t>e</w:t>
      </w:r>
      <w:r w:rsidRPr="0075688F">
        <w:rPr>
          <w:rFonts w:ascii="Times New Roman" w:hAnsi="Times New Roman" w:cs="Times New Roman"/>
          <w:b/>
          <w:bCs/>
          <w:i w:val="0"/>
          <w:iCs w:val="0"/>
          <w:color w:val="000000" w:themeColor="text1"/>
          <w:sz w:val="24"/>
          <w:szCs w:val="24"/>
        </w:rPr>
        <w:t xml:space="preserve"> 1. PICO Framework</w:t>
      </w:r>
    </w:p>
    <w:tbl>
      <w:tblPr>
        <w:tblStyle w:val="1"/>
        <w:tblW w:w="0" w:type="auto"/>
        <w:tblLook w:val="04A0" w:firstRow="1" w:lastRow="0" w:firstColumn="1" w:lastColumn="0" w:noHBand="0" w:noVBand="1"/>
      </w:tblPr>
      <w:tblGrid>
        <w:gridCol w:w="4495"/>
        <w:gridCol w:w="4522"/>
      </w:tblGrid>
      <w:tr w:rsidR="00597874" w:rsidRPr="0099292E" w14:paraId="3889CC57" w14:textId="77777777" w:rsidTr="00675AEF">
        <w:tc>
          <w:tcPr>
            <w:tcW w:w="4814" w:type="dxa"/>
            <w:tcBorders>
              <w:top w:val="single" w:sz="4" w:space="0" w:color="auto"/>
            </w:tcBorders>
          </w:tcPr>
          <w:p w14:paraId="1F97CD46" w14:textId="77777777" w:rsidR="00597874" w:rsidRPr="0099292E" w:rsidRDefault="00597874" w:rsidP="0075688F">
            <w:pPr>
              <w:spacing w:after="0"/>
              <w:rPr>
                <w:rFonts w:ascii="Times New Roman" w:eastAsia="Times New Roman" w:hAnsi="Times New Roman" w:cs="Times New Roman"/>
                <w:color w:val="000000"/>
              </w:rPr>
            </w:pPr>
            <w:r w:rsidRPr="0099292E">
              <w:rPr>
                <w:rFonts w:ascii="Times New Roman" w:eastAsia="Times New Roman" w:hAnsi="Times New Roman" w:cs="Times New Roman"/>
                <w:color w:val="000000"/>
              </w:rPr>
              <w:t>Population</w:t>
            </w:r>
          </w:p>
        </w:tc>
        <w:tc>
          <w:tcPr>
            <w:tcW w:w="4814" w:type="dxa"/>
            <w:tcBorders>
              <w:top w:val="single" w:sz="4" w:space="0" w:color="auto"/>
            </w:tcBorders>
          </w:tcPr>
          <w:p w14:paraId="1DAAB260" w14:textId="77777777" w:rsidR="00597874" w:rsidRPr="0099292E" w:rsidRDefault="00597874" w:rsidP="0075688F">
            <w:pPr>
              <w:spacing w:after="0"/>
              <w:rPr>
                <w:rFonts w:ascii="Times New Roman" w:eastAsia="Times New Roman" w:hAnsi="Times New Roman" w:cs="Times New Roman"/>
                <w:color w:val="000000"/>
              </w:rPr>
            </w:pPr>
            <w:r w:rsidRPr="0099292E">
              <w:rPr>
                <w:rFonts w:ascii="Times New Roman" w:eastAsia="Times New Roman" w:hAnsi="Times New Roman" w:cs="Times New Roman"/>
                <w:color w:val="000000"/>
              </w:rPr>
              <w:t>Tax Avoidance</w:t>
            </w:r>
          </w:p>
        </w:tc>
      </w:tr>
      <w:tr w:rsidR="00597874" w:rsidRPr="0099292E" w14:paraId="61046DCD" w14:textId="77777777" w:rsidTr="00675AEF">
        <w:tc>
          <w:tcPr>
            <w:tcW w:w="4814" w:type="dxa"/>
          </w:tcPr>
          <w:p w14:paraId="1970F9AD" w14:textId="77777777" w:rsidR="00597874" w:rsidRPr="0099292E" w:rsidRDefault="00597874" w:rsidP="0075688F">
            <w:pPr>
              <w:spacing w:after="0"/>
              <w:contextualSpacing/>
              <w:jc w:val="both"/>
              <w:rPr>
                <w:rFonts w:ascii="Times New Roman" w:eastAsia="Times New Roman" w:hAnsi="Times New Roman" w:cs="Times New Roman"/>
              </w:rPr>
            </w:pPr>
            <w:r w:rsidRPr="0099292E">
              <w:rPr>
                <w:rFonts w:ascii="Times New Roman" w:eastAsia="Times New Roman" w:hAnsi="Times New Roman" w:cs="Times New Roman"/>
              </w:rPr>
              <w:t>Intervention</w:t>
            </w:r>
          </w:p>
        </w:tc>
        <w:tc>
          <w:tcPr>
            <w:tcW w:w="4814" w:type="dxa"/>
          </w:tcPr>
          <w:p w14:paraId="1E27340C" w14:textId="7900D3B5" w:rsidR="00597874" w:rsidRPr="0099292E" w:rsidRDefault="00597874" w:rsidP="0075688F">
            <w:pPr>
              <w:spacing w:after="0"/>
              <w:contextualSpacing/>
              <w:jc w:val="both"/>
              <w:rPr>
                <w:rFonts w:ascii="Times New Roman" w:eastAsia="Times New Roman" w:hAnsi="Times New Roman" w:cs="Times New Roman"/>
              </w:rPr>
            </w:pPr>
            <w:r w:rsidRPr="0099292E">
              <w:rPr>
                <w:rFonts w:ascii="Times New Roman" w:eastAsia="Times New Roman" w:hAnsi="Times New Roman" w:cs="Times New Roman"/>
              </w:rPr>
              <w:t>Environmental, Social, and Governance Pillar</w:t>
            </w:r>
          </w:p>
        </w:tc>
      </w:tr>
      <w:tr w:rsidR="00597874" w:rsidRPr="0099292E" w14:paraId="314A09C0" w14:textId="77777777" w:rsidTr="00675AEF">
        <w:tc>
          <w:tcPr>
            <w:tcW w:w="4814" w:type="dxa"/>
          </w:tcPr>
          <w:p w14:paraId="01F52938" w14:textId="77777777" w:rsidR="00597874" w:rsidRPr="0099292E" w:rsidRDefault="00597874" w:rsidP="0075688F">
            <w:pPr>
              <w:spacing w:after="0"/>
              <w:contextualSpacing/>
              <w:jc w:val="both"/>
              <w:rPr>
                <w:rFonts w:ascii="Times New Roman" w:eastAsia="Times New Roman" w:hAnsi="Times New Roman" w:cs="Times New Roman"/>
              </w:rPr>
            </w:pPr>
            <w:r w:rsidRPr="0099292E">
              <w:rPr>
                <w:rFonts w:ascii="Times New Roman" w:eastAsia="Times New Roman" w:hAnsi="Times New Roman" w:cs="Times New Roman"/>
              </w:rPr>
              <w:t>Comparison</w:t>
            </w:r>
          </w:p>
        </w:tc>
        <w:tc>
          <w:tcPr>
            <w:tcW w:w="4814" w:type="dxa"/>
          </w:tcPr>
          <w:p w14:paraId="353AF15B" w14:textId="77777777" w:rsidR="00597874" w:rsidRPr="0099292E" w:rsidRDefault="00597874" w:rsidP="0075688F">
            <w:pPr>
              <w:spacing w:after="0"/>
              <w:contextualSpacing/>
              <w:jc w:val="both"/>
              <w:rPr>
                <w:rFonts w:ascii="Times New Roman" w:eastAsia="Times New Roman" w:hAnsi="Times New Roman" w:cs="Times New Roman"/>
              </w:rPr>
            </w:pPr>
            <w:r w:rsidRPr="0099292E">
              <w:rPr>
                <w:rFonts w:ascii="Times New Roman" w:eastAsia="Times New Roman" w:hAnsi="Times New Roman" w:cs="Times New Roman"/>
              </w:rPr>
              <w:t>-</w:t>
            </w:r>
          </w:p>
        </w:tc>
      </w:tr>
      <w:tr w:rsidR="00597874" w:rsidRPr="0099292E" w14:paraId="62BDAE92" w14:textId="77777777" w:rsidTr="00675AEF">
        <w:tc>
          <w:tcPr>
            <w:tcW w:w="4814" w:type="dxa"/>
            <w:tcBorders>
              <w:bottom w:val="single" w:sz="4" w:space="0" w:color="auto"/>
            </w:tcBorders>
          </w:tcPr>
          <w:p w14:paraId="0064E57E" w14:textId="77777777" w:rsidR="00597874" w:rsidRPr="0099292E" w:rsidRDefault="00597874" w:rsidP="0075688F">
            <w:pPr>
              <w:spacing w:after="0"/>
              <w:contextualSpacing/>
              <w:jc w:val="both"/>
              <w:rPr>
                <w:rFonts w:ascii="Times New Roman" w:eastAsia="Times New Roman" w:hAnsi="Times New Roman" w:cs="Times New Roman"/>
              </w:rPr>
            </w:pPr>
            <w:r w:rsidRPr="0099292E">
              <w:rPr>
                <w:rFonts w:ascii="Times New Roman" w:eastAsia="Times New Roman" w:hAnsi="Times New Roman" w:cs="Times New Roman"/>
              </w:rPr>
              <w:t>Outcome</w:t>
            </w:r>
          </w:p>
        </w:tc>
        <w:tc>
          <w:tcPr>
            <w:tcW w:w="4814" w:type="dxa"/>
            <w:tcBorders>
              <w:bottom w:val="single" w:sz="4" w:space="0" w:color="auto"/>
            </w:tcBorders>
          </w:tcPr>
          <w:p w14:paraId="39C4C4FA" w14:textId="79EF94B0" w:rsidR="00597874" w:rsidRPr="0099292E" w:rsidRDefault="00597874" w:rsidP="0075688F">
            <w:pPr>
              <w:pStyle w:val="ListParagraph"/>
              <w:numPr>
                <w:ilvl w:val="0"/>
                <w:numId w:val="7"/>
              </w:numPr>
              <w:spacing w:after="0"/>
              <w:ind w:left="315" w:hanging="283"/>
              <w:jc w:val="both"/>
              <w:rPr>
                <w:rFonts w:ascii="Times New Roman" w:eastAsia="Times New Roman" w:hAnsi="Times New Roman" w:cs="Times New Roman"/>
              </w:rPr>
            </w:pPr>
            <w:r w:rsidRPr="0099292E">
              <w:rPr>
                <w:rFonts w:ascii="Times New Roman" w:eastAsia="Times New Roman" w:hAnsi="Times New Roman" w:cs="Times New Roman"/>
              </w:rPr>
              <w:t>The Influence of ESG Pillars on Tax Avoidance</w:t>
            </w:r>
          </w:p>
          <w:p w14:paraId="33372EAB" w14:textId="77777777" w:rsidR="00597874" w:rsidRPr="0099292E" w:rsidRDefault="00597874" w:rsidP="0075688F">
            <w:pPr>
              <w:pStyle w:val="ListParagraph"/>
              <w:numPr>
                <w:ilvl w:val="0"/>
                <w:numId w:val="7"/>
              </w:numPr>
              <w:spacing w:after="0"/>
              <w:ind w:left="315" w:hanging="283"/>
              <w:jc w:val="both"/>
              <w:rPr>
                <w:rFonts w:ascii="Times New Roman" w:eastAsia="Times New Roman" w:hAnsi="Times New Roman" w:cs="Times New Roman"/>
                <w:lang w:eastAsia="id-ID"/>
              </w:rPr>
            </w:pPr>
            <w:r w:rsidRPr="0099292E">
              <w:rPr>
                <w:rFonts w:ascii="Times New Roman" w:eastAsia="Times New Roman" w:hAnsi="Times New Roman" w:cs="Times New Roman"/>
              </w:rPr>
              <w:t>An Overview of ESG Proxies and Their Impact</w:t>
            </w:r>
          </w:p>
          <w:p w14:paraId="4EC47B5E" w14:textId="6981CA34" w:rsidR="00597874" w:rsidRPr="0099292E" w:rsidRDefault="00597874" w:rsidP="0075688F">
            <w:pPr>
              <w:pStyle w:val="ListParagraph"/>
              <w:numPr>
                <w:ilvl w:val="0"/>
                <w:numId w:val="7"/>
              </w:numPr>
              <w:spacing w:after="0"/>
              <w:ind w:left="315" w:hanging="283"/>
              <w:jc w:val="both"/>
              <w:rPr>
                <w:rFonts w:ascii="Times New Roman" w:eastAsia="Times New Roman" w:hAnsi="Times New Roman" w:cs="Times New Roman"/>
                <w:lang w:eastAsia="id-ID"/>
              </w:rPr>
            </w:pPr>
            <w:r w:rsidRPr="0099292E">
              <w:rPr>
                <w:rFonts w:ascii="Times New Roman" w:eastAsia="Times New Roman" w:hAnsi="Times New Roman" w:cs="Times New Roman"/>
              </w:rPr>
              <w:t>Identifying the ESG Pillar with the Greatest Influence on Tax Avoidance</w:t>
            </w:r>
          </w:p>
        </w:tc>
      </w:tr>
    </w:tbl>
    <w:p w14:paraId="1DBB44AE" w14:textId="77777777" w:rsidR="00B559A3" w:rsidRPr="0099292E" w:rsidRDefault="00B559A3" w:rsidP="0075688F">
      <w:pPr>
        <w:spacing w:after="0"/>
        <w:ind w:firstLine="426"/>
        <w:contextualSpacing/>
        <w:jc w:val="both"/>
        <w:rPr>
          <w:rFonts w:ascii="Times New Roman" w:eastAsia="Times New Roman" w:hAnsi="Times New Roman" w:cs="Times New Roman"/>
          <w:sz w:val="24"/>
          <w:szCs w:val="24"/>
        </w:rPr>
      </w:pPr>
    </w:p>
    <w:p w14:paraId="15FBA7C4" w14:textId="665E8CD1" w:rsidR="005123AC" w:rsidRPr="00571887" w:rsidRDefault="001B4994" w:rsidP="00013F71">
      <w:pPr>
        <w:spacing w:after="0"/>
        <w:ind w:firstLine="426"/>
        <w:contextualSpacing/>
        <w:jc w:val="both"/>
      </w:pPr>
      <w:r w:rsidRPr="0099292E">
        <w:rPr>
          <w:rFonts w:ascii="Times New Roman" w:eastAsia="Times New Roman" w:hAnsi="Times New Roman" w:cs="Times New Roman"/>
          <w:sz w:val="24"/>
          <w:szCs w:val="24"/>
        </w:rPr>
        <w:t xml:space="preserve">There are 24 journals with details of 2 Sinta 1 accredited journals and 22 Sinta 2 accredited journals. From all these journals, researchers obtained 66 articles from 2015 to 2025. </w:t>
      </w:r>
      <w:r w:rsidR="009D117C" w:rsidRPr="0099292E">
        <w:rPr>
          <w:rFonts w:ascii="Times New Roman" w:eastAsia="Times New Roman" w:hAnsi="Times New Roman" w:cs="Times New Roman"/>
          <w:sz w:val="24"/>
          <w:szCs w:val="24"/>
        </w:rPr>
        <w:t>Articles were identified through keyword searches using combinations of</w:t>
      </w:r>
      <w:r w:rsidRPr="0099292E">
        <w:rPr>
          <w:rFonts w:ascii="Times New Roman" w:eastAsia="Times New Roman" w:hAnsi="Times New Roman" w:cs="Times New Roman"/>
          <w:sz w:val="24"/>
          <w:szCs w:val="24"/>
        </w:rPr>
        <w:t xml:space="preserve"> </w:t>
      </w:r>
      <w:r w:rsidR="00EC671F" w:rsidRPr="0099292E">
        <w:rPr>
          <w:rFonts w:ascii="Times New Roman" w:eastAsia="Times New Roman" w:hAnsi="Times New Roman" w:cs="Times New Roman"/>
          <w:sz w:val="24"/>
          <w:szCs w:val="24"/>
        </w:rPr>
        <w:t xml:space="preserve">("tax avoidance" or "tax aggressiveness") </w:t>
      </w:r>
      <w:r w:rsidR="00EC671F" w:rsidRPr="00571887">
        <w:rPr>
          <w:rFonts w:ascii="Times New Roman" w:eastAsia="Times New Roman" w:hAnsi="Times New Roman" w:cs="Times New Roman"/>
          <w:sz w:val="24"/>
          <w:szCs w:val="24"/>
        </w:rPr>
        <w:t>and ("ESG" or "environmental" or "social" or "governance" or "CSR" or "sustainability")</w:t>
      </w:r>
      <w:r w:rsidRPr="00571887">
        <w:rPr>
          <w:rFonts w:ascii="Times New Roman" w:eastAsia="Times New Roman" w:hAnsi="Times New Roman" w:cs="Times New Roman"/>
          <w:sz w:val="24"/>
          <w:szCs w:val="24"/>
        </w:rPr>
        <w:t>. Tax aggressiveness is often used as a substitute for tax avoidance. Then, from the articles obtained, the author analyses the variables used in the study with the keywords environmental, social, or governance. From this search</w:t>
      </w:r>
      <w:r w:rsidR="00521BCF" w:rsidRPr="00571887">
        <w:rPr>
          <w:rFonts w:ascii="Times New Roman" w:eastAsia="Times New Roman" w:hAnsi="Times New Roman" w:cs="Times New Roman"/>
          <w:sz w:val="24"/>
          <w:szCs w:val="24"/>
        </w:rPr>
        <w:t>, th</w:t>
      </w:r>
      <w:r w:rsidRPr="00571887">
        <w:rPr>
          <w:rFonts w:ascii="Times New Roman" w:eastAsia="Times New Roman" w:hAnsi="Times New Roman" w:cs="Times New Roman"/>
          <w:sz w:val="24"/>
          <w:szCs w:val="24"/>
        </w:rPr>
        <w:t xml:space="preserve">e author gets 66 articles that are used as samples. </w:t>
      </w:r>
      <w:r w:rsidR="009D117C" w:rsidRPr="00571887">
        <w:rPr>
          <w:rFonts w:ascii="Times New Roman" w:eastAsia="Times New Roman" w:hAnsi="Times New Roman" w:cs="Times New Roman"/>
          <w:sz w:val="24"/>
          <w:szCs w:val="24"/>
        </w:rPr>
        <w:t>All selected articles were subsequently analyzed using the charting-the-field approach developed by</w:t>
      </w:r>
      <w:r w:rsidR="00301863" w:rsidRPr="00571887">
        <w:rPr>
          <w:rFonts w:ascii="Times New Roman" w:eastAsia="Times New Roman" w:hAnsi="Times New Roman" w:cs="Times New Roman"/>
          <w:sz w:val="24"/>
          <w:szCs w:val="24"/>
        </w:rPr>
        <w:t xml:space="preserve"> </w:t>
      </w:r>
      <w:hyperlink w:anchor="Hesford" w:history="1">
        <w:r w:rsidR="00301863" w:rsidRPr="00571887">
          <w:rPr>
            <w:rStyle w:val="Hyperlink"/>
            <w:rFonts w:ascii="Times New Roman" w:eastAsia="Times New Roman" w:hAnsi="Times New Roman" w:cs="Times New Roman"/>
            <w:sz w:val="24"/>
            <w:szCs w:val="24"/>
            <w:u w:val="none"/>
          </w:rPr>
          <w:fldChar w:fldCharType="begin" w:fldLock="1"/>
        </w:r>
        <w:r w:rsidR="00301863" w:rsidRPr="00571887">
          <w:rPr>
            <w:rStyle w:val="Hyperlink"/>
            <w:rFonts w:ascii="Times New Roman" w:eastAsia="Times New Roman" w:hAnsi="Times New Roman" w:cs="Times New Roman"/>
            <w:sz w:val="24"/>
            <w:szCs w:val="24"/>
            <w:u w:val="none"/>
          </w:rPr>
          <w:instrText>ADDIN CSL_CITATION {"citationItems":[{"id":"ITEM-1","itemData":{"DOI":"10.1016/S1751-3243(06)01001-7","ISBN":"9780080445649","ISSN":"17513243","abstract":"The 20-year period from 1981 to 2000 was a period of change for the field of management accounting. During this period new topics were investigated, new journals came into existence, and different research methods were emphasized. This chapter has two parts. The first part charts the field. To do this we split the 20-year period into two decades and then compare the kinds of topics studied, the research methods used, and the source disciplines employed across 10 journals in accounting and between decades. The second part focuses on the community of accounting scholars, analyzing citations and social network measures that reveal the links between, and influence of, individuals in management accounting research. © 2007 Elsevier Ltd. All rights reserved.","author":[{"dropping-particle":"","family":"Hesford","given":"James W.","non-dropping-particle":"","parse-names":false,"suffix":""},{"dropping-particle":"","family":"Lee","given":"Sung Han (Sam)","non-dropping-particle":"","parse-names":false,"suffix":""},{"dropping-particle":"","family":"Stede","given":"Wim A.","non-dropping-particle":"Van der","parse-names":false,"suffix":""},{"dropping-particle":"","family":"Young","given":"S. Mark","non-dropping-particle":"","parse-names":false,"suffix":""}],"container-title":"Handbooks of Management Accounting Research","id":"ITEM-1","issued":{"date-parts":[["2006"]]},"page":"3-26","title":"Management Accounting: A Bibliographic Study","type":"article-journal","volume":"1"},"uris":["http://www.mendeley.com/documents/?uuid=68aa0703-63a3-41a4-a4a9-ffb6e9492ed6"]}],"mendeley":{"formattedCitation":"(Hesford et al., 2006)","manualFormatting":"Hesford et al., (2006)","plainTextFormattedCitation":"(Hesford et al., 2006)","previouslyFormattedCitation":"(Hesford et al., 2006)"},"properties":{"noteIndex":0},"schema":"https://github.com/citation-style-language/schema/raw/master/csl-citation.json"}</w:instrText>
        </w:r>
        <w:r w:rsidR="00301863" w:rsidRPr="00571887">
          <w:rPr>
            <w:rStyle w:val="Hyperlink"/>
            <w:rFonts w:ascii="Times New Roman" w:eastAsia="Times New Roman" w:hAnsi="Times New Roman" w:cs="Times New Roman"/>
            <w:sz w:val="24"/>
            <w:szCs w:val="24"/>
            <w:u w:val="none"/>
          </w:rPr>
          <w:fldChar w:fldCharType="separate"/>
        </w:r>
        <w:r w:rsidR="009D7FF5" w:rsidRPr="00571887">
          <w:rPr>
            <w:rStyle w:val="Hyperlink"/>
            <w:rFonts w:ascii="Times New Roman" w:eastAsia="Times New Roman" w:hAnsi="Times New Roman" w:cs="Times New Roman"/>
            <w:noProof/>
            <w:sz w:val="24"/>
            <w:szCs w:val="24"/>
            <w:u w:val="none"/>
          </w:rPr>
          <w:t>Hesford et al.</w:t>
        </w:r>
        <w:r w:rsidR="00301863" w:rsidRPr="00571887">
          <w:rPr>
            <w:rStyle w:val="Hyperlink"/>
            <w:rFonts w:ascii="Times New Roman" w:eastAsia="Times New Roman" w:hAnsi="Times New Roman" w:cs="Times New Roman"/>
            <w:noProof/>
            <w:sz w:val="24"/>
            <w:szCs w:val="24"/>
            <w:u w:val="none"/>
          </w:rPr>
          <w:t xml:space="preserve"> (2006)</w:t>
        </w:r>
        <w:r w:rsidR="00301863" w:rsidRPr="00571887">
          <w:rPr>
            <w:rStyle w:val="Hyperlink"/>
            <w:rFonts w:ascii="Times New Roman" w:eastAsia="Times New Roman" w:hAnsi="Times New Roman" w:cs="Times New Roman"/>
            <w:sz w:val="24"/>
            <w:szCs w:val="24"/>
            <w:u w:val="none"/>
          </w:rPr>
          <w:fldChar w:fldCharType="end"/>
        </w:r>
      </w:hyperlink>
      <w:r w:rsidR="00597874" w:rsidRPr="00571887">
        <w:t>.</w:t>
      </w:r>
    </w:p>
    <w:p w14:paraId="1F8FF58B" w14:textId="77777777" w:rsidR="00597874" w:rsidRPr="0099292E" w:rsidRDefault="00597874" w:rsidP="00013F71">
      <w:pPr>
        <w:spacing w:after="0"/>
        <w:ind w:firstLine="426"/>
        <w:contextualSpacing/>
        <w:jc w:val="both"/>
      </w:pPr>
    </w:p>
    <w:p w14:paraId="502D06D0" w14:textId="1488E315" w:rsidR="00597874" w:rsidRPr="0075688F" w:rsidRDefault="00597874" w:rsidP="0075688F">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75688F">
        <w:rPr>
          <w:rFonts w:ascii="Times New Roman" w:hAnsi="Times New Roman" w:cs="Times New Roman"/>
          <w:b/>
          <w:bCs/>
          <w:i w:val="0"/>
          <w:iCs w:val="0"/>
          <w:color w:val="000000" w:themeColor="text1"/>
          <w:sz w:val="24"/>
          <w:szCs w:val="24"/>
        </w:rPr>
        <w:t>Tab</w:t>
      </w:r>
      <w:r w:rsidR="001F50EF" w:rsidRPr="0075688F">
        <w:rPr>
          <w:rFonts w:ascii="Times New Roman" w:hAnsi="Times New Roman" w:cs="Times New Roman"/>
          <w:b/>
          <w:bCs/>
          <w:i w:val="0"/>
          <w:iCs w:val="0"/>
          <w:color w:val="000000" w:themeColor="text1"/>
          <w:sz w:val="24"/>
          <w:szCs w:val="24"/>
        </w:rPr>
        <w:t>le</w:t>
      </w:r>
      <w:r w:rsidRPr="0075688F">
        <w:rPr>
          <w:rFonts w:ascii="Times New Roman" w:hAnsi="Times New Roman" w:cs="Times New Roman"/>
          <w:b/>
          <w:bCs/>
          <w:i w:val="0"/>
          <w:iCs w:val="0"/>
          <w:color w:val="000000" w:themeColor="text1"/>
          <w:sz w:val="24"/>
          <w:szCs w:val="24"/>
        </w:rPr>
        <w:t xml:space="preserve"> 2. Inclusion and Exclusion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3020"/>
        <w:gridCol w:w="3021"/>
      </w:tblGrid>
      <w:tr w:rsidR="00597874" w:rsidRPr="0099292E" w14:paraId="27B15A9C" w14:textId="77777777" w:rsidTr="00357B5D">
        <w:trPr>
          <w:trHeight w:val="283"/>
          <w:tblHeader/>
        </w:trPr>
        <w:tc>
          <w:tcPr>
            <w:tcW w:w="3209" w:type="dxa"/>
            <w:tcBorders>
              <w:top w:val="single" w:sz="4" w:space="0" w:color="000000" w:themeColor="text1"/>
              <w:bottom w:val="single" w:sz="4" w:space="0" w:color="000000" w:themeColor="text1"/>
            </w:tcBorders>
            <w:vAlign w:val="center"/>
          </w:tcPr>
          <w:p w14:paraId="63F24F3E" w14:textId="3439511C" w:rsidR="00597874" w:rsidRPr="0075688F" w:rsidRDefault="00597874" w:rsidP="00357B5D">
            <w:pPr>
              <w:spacing w:line="276" w:lineRule="auto"/>
              <w:contextualSpacing/>
              <w:rPr>
                <w:rFonts w:ascii="Times New Roman" w:eastAsia="Times New Roman" w:hAnsi="Times New Roman" w:cs="Times New Roman"/>
                <w:b/>
                <w:sz w:val="24"/>
                <w:szCs w:val="24"/>
                <w:lang w:val="en-US"/>
              </w:rPr>
            </w:pPr>
            <w:r w:rsidRPr="0075688F">
              <w:rPr>
                <w:rFonts w:ascii="Times New Roman" w:eastAsia="Times New Roman" w:hAnsi="Times New Roman" w:cs="Times New Roman"/>
                <w:b/>
                <w:sz w:val="24"/>
                <w:szCs w:val="24"/>
                <w:lang w:val="en-US"/>
              </w:rPr>
              <w:t>Criteria</w:t>
            </w:r>
          </w:p>
        </w:tc>
        <w:tc>
          <w:tcPr>
            <w:tcW w:w="3209" w:type="dxa"/>
            <w:tcBorders>
              <w:top w:val="single" w:sz="4" w:space="0" w:color="000000" w:themeColor="text1"/>
              <w:bottom w:val="single" w:sz="4" w:space="0" w:color="000000" w:themeColor="text1"/>
            </w:tcBorders>
            <w:vAlign w:val="center"/>
          </w:tcPr>
          <w:p w14:paraId="61D6F0E9" w14:textId="7883EE35" w:rsidR="00597874" w:rsidRPr="0075688F" w:rsidRDefault="00597874" w:rsidP="00357B5D">
            <w:pPr>
              <w:spacing w:line="276" w:lineRule="auto"/>
              <w:contextualSpacing/>
              <w:rPr>
                <w:rFonts w:ascii="Times New Roman" w:eastAsia="Times New Roman" w:hAnsi="Times New Roman" w:cs="Times New Roman"/>
                <w:b/>
                <w:sz w:val="24"/>
                <w:szCs w:val="24"/>
                <w:lang w:val="en-US"/>
              </w:rPr>
            </w:pPr>
            <w:r w:rsidRPr="0075688F">
              <w:rPr>
                <w:rFonts w:ascii="Times New Roman" w:eastAsia="Times New Roman" w:hAnsi="Times New Roman" w:cs="Times New Roman"/>
                <w:b/>
                <w:sz w:val="24"/>
                <w:szCs w:val="24"/>
                <w:lang w:val="en-US"/>
              </w:rPr>
              <w:t>Inclusion</w:t>
            </w:r>
          </w:p>
        </w:tc>
        <w:tc>
          <w:tcPr>
            <w:tcW w:w="3210" w:type="dxa"/>
            <w:tcBorders>
              <w:top w:val="single" w:sz="4" w:space="0" w:color="000000" w:themeColor="text1"/>
              <w:bottom w:val="single" w:sz="4" w:space="0" w:color="000000" w:themeColor="text1"/>
            </w:tcBorders>
            <w:vAlign w:val="center"/>
          </w:tcPr>
          <w:p w14:paraId="0DE5105C" w14:textId="3047D939" w:rsidR="00597874" w:rsidRPr="0075688F" w:rsidRDefault="00597874" w:rsidP="00357B5D">
            <w:pPr>
              <w:spacing w:line="276" w:lineRule="auto"/>
              <w:contextualSpacing/>
              <w:rPr>
                <w:rFonts w:ascii="Times New Roman" w:eastAsia="Times New Roman" w:hAnsi="Times New Roman" w:cs="Times New Roman"/>
                <w:b/>
                <w:sz w:val="24"/>
                <w:szCs w:val="24"/>
                <w:lang w:val="en-US"/>
              </w:rPr>
            </w:pPr>
            <w:r w:rsidRPr="0075688F">
              <w:rPr>
                <w:rFonts w:ascii="Times New Roman" w:eastAsia="Times New Roman" w:hAnsi="Times New Roman" w:cs="Times New Roman"/>
                <w:b/>
                <w:sz w:val="24"/>
                <w:szCs w:val="24"/>
                <w:lang w:val="en-US"/>
              </w:rPr>
              <w:t>Exclusion</w:t>
            </w:r>
          </w:p>
        </w:tc>
      </w:tr>
      <w:tr w:rsidR="00597874" w:rsidRPr="0099292E" w14:paraId="3ABE9500" w14:textId="77777777" w:rsidTr="00EF42DC">
        <w:tc>
          <w:tcPr>
            <w:tcW w:w="3209" w:type="dxa"/>
            <w:tcBorders>
              <w:top w:val="single" w:sz="4" w:space="0" w:color="000000" w:themeColor="text1"/>
            </w:tcBorders>
          </w:tcPr>
          <w:p w14:paraId="59EDED8F" w14:textId="77777777" w:rsidR="00597874" w:rsidRPr="0099292E" w:rsidRDefault="00597874" w:rsidP="0075688F">
            <w:pPr>
              <w:spacing w:line="276" w:lineRule="auto"/>
              <w:contextualSpacing/>
              <w:jc w:val="both"/>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Subject</w:t>
            </w:r>
          </w:p>
        </w:tc>
        <w:tc>
          <w:tcPr>
            <w:tcW w:w="3209" w:type="dxa"/>
            <w:tcBorders>
              <w:top w:val="single" w:sz="4" w:space="0" w:color="000000" w:themeColor="text1"/>
            </w:tcBorders>
          </w:tcPr>
          <w:p w14:paraId="17BF6D74" w14:textId="481B5866"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Studies focusing on Tax Avoidance/Tax Aggressiveness</w:t>
            </w:r>
          </w:p>
        </w:tc>
        <w:tc>
          <w:tcPr>
            <w:tcW w:w="3210" w:type="dxa"/>
            <w:tcBorders>
              <w:top w:val="single" w:sz="4" w:space="0" w:color="000000" w:themeColor="text1"/>
            </w:tcBorders>
          </w:tcPr>
          <w:p w14:paraId="25D6C133" w14:textId="7B9B68DA"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Studies not focusing on Tax Avoidance/Tax Aggressiveness</w:t>
            </w:r>
          </w:p>
        </w:tc>
      </w:tr>
      <w:tr w:rsidR="00597874" w:rsidRPr="0099292E" w14:paraId="26DA354C" w14:textId="77777777" w:rsidTr="00EF42DC">
        <w:tc>
          <w:tcPr>
            <w:tcW w:w="3209" w:type="dxa"/>
          </w:tcPr>
          <w:p w14:paraId="4E536386" w14:textId="2AEBA3FF" w:rsidR="00597874" w:rsidRPr="0099292E" w:rsidRDefault="00597874" w:rsidP="0075688F">
            <w:pPr>
              <w:spacing w:line="276" w:lineRule="auto"/>
              <w:contextualSpacing/>
              <w:jc w:val="both"/>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Source</w:t>
            </w:r>
          </w:p>
        </w:tc>
        <w:tc>
          <w:tcPr>
            <w:tcW w:w="3209" w:type="dxa"/>
          </w:tcPr>
          <w:p w14:paraId="56AF8863" w14:textId="29A45AA3"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Research articles accessible through journals accredited in Sinta 1 and Sinta 2</w:t>
            </w:r>
          </w:p>
        </w:tc>
        <w:tc>
          <w:tcPr>
            <w:tcW w:w="3210" w:type="dxa"/>
          </w:tcPr>
          <w:p w14:paraId="54C50EEB" w14:textId="7E381001"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Other than research articles accessible through journals accredited in Sinta 1 and Sinta 2</w:t>
            </w:r>
          </w:p>
        </w:tc>
      </w:tr>
      <w:tr w:rsidR="00597874" w:rsidRPr="0099292E" w14:paraId="3C720C61" w14:textId="77777777" w:rsidTr="00EF42DC">
        <w:tc>
          <w:tcPr>
            <w:tcW w:w="3209" w:type="dxa"/>
          </w:tcPr>
          <w:p w14:paraId="310FF7B8" w14:textId="48C030A3" w:rsidR="00597874" w:rsidRPr="0099292E" w:rsidRDefault="00597874" w:rsidP="0075688F">
            <w:pPr>
              <w:spacing w:line="276" w:lineRule="auto"/>
              <w:contextualSpacing/>
              <w:jc w:val="both"/>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Journal Scope</w:t>
            </w:r>
          </w:p>
        </w:tc>
        <w:tc>
          <w:tcPr>
            <w:tcW w:w="3209" w:type="dxa"/>
          </w:tcPr>
          <w:p w14:paraId="0E133529" w14:textId="050AC75B"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The fields of Management, Business, Accounting, and Economics</w:t>
            </w:r>
          </w:p>
        </w:tc>
        <w:tc>
          <w:tcPr>
            <w:tcW w:w="3210" w:type="dxa"/>
          </w:tcPr>
          <w:p w14:paraId="0147D990" w14:textId="7AF98091"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Outside the fields of Management, Business, Accounting, and Economics</w:t>
            </w:r>
          </w:p>
        </w:tc>
      </w:tr>
      <w:tr w:rsidR="00597874" w:rsidRPr="0099292E" w14:paraId="0DD300F3" w14:textId="77777777" w:rsidTr="00EF42DC">
        <w:tc>
          <w:tcPr>
            <w:tcW w:w="3209" w:type="dxa"/>
          </w:tcPr>
          <w:p w14:paraId="7E51BF60" w14:textId="05169241" w:rsidR="00597874" w:rsidRPr="0099292E" w:rsidRDefault="00597874" w:rsidP="0075688F">
            <w:pPr>
              <w:spacing w:line="276" w:lineRule="auto"/>
              <w:contextualSpacing/>
              <w:jc w:val="both"/>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Research Area</w:t>
            </w:r>
          </w:p>
        </w:tc>
        <w:tc>
          <w:tcPr>
            <w:tcW w:w="3209" w:type="dxa"/>
          </w:tcPr>
          <w:p w14:paraId="2127BEE3" w14:textId="51C1514B" w:rsidR="00597874" w:rsidRPr="0099292E" w:rsidRDefault="0033550F"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Articles that examine Tax Avoidance as the dependent variable and ESG pillars (represented by various proxies) as the independent variable</w:t>
            </w:r>
            <w:r w:rsidR="00597874" w:rsidRPr="0099292E">
              <w:rPr>
                <w:rFonts w:ascii="Times New Roman" w:eastAsia="Times New Roman" w:hAnsi="Times New Roman" w:cs="Times New Roman"/>
                <w:bCs/>
                <w:lang w:val="en-US"/>
              </w:rPr>
              <w:t xml:space="preserve"> </w:t>
            </w:r>
          </w:p>
        </w:tc>
        <w:tc>
          <w:tcPr>
            <w:tcW w:w="3210" w:type="dxa"/>
          </w:tcPr>
          <w:p w14:paraId="0CD2CB6E" w14:textId="615BFE00" w:rsidR="00597874" w:rsidRPr="0099292E" w:rsidRDefault="0033550F"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 xml:space="preserve">Articles that </w:t>
            </w:r>
            <w:r w:rsidR="00CF2ACB">
              <w:rPr>
                <w:rFonts w:ascii="Times New Roman" w:eastAsia="Times New Roman" w:hAnsi="Times New Roman" w:cs="Times New Roman"/>
                <w:bCs/>
                <w:lang w:val="en-US"/>
              </w:rPr>
              <w:t xml:space="preserve">do </w:t>
            </w:r>
            <w:r w:rsidRPr="0099292E">
              <w:rPr>
                <w:rFonts w:ascii="Times New Roman" w:eastAsia="Times New Roman" w:hAnsi="Times New Roman" w:cs="Times New Roman"/>
                <w:bCs/>
                <w:lang w:val="en-US"/>
              </w:rPr>
              <w:t>not examine Tax Avoidance as the dependent variable and ESG pillars as the independent variable</w:t>
            </w:r>
          </w:p>
        </w:tc>
      </w:tr>
      <w:tr w:rsidR="00597874" w:rsidRPr="0099292E" w14:paraId="1D90A030" w14:textId="77777777" w:rsidTr="00EF42DC">
        <w:tc>
          <w:tcPr>
            <w:tcW w:w="3209" w:type="dxa"/>
          </w:tcPr>
          <w:p w14:paraId="1BC42B1F" w14:textId="6CEB40FC" w:rsidR="00597874" w:rsidRPr="0099292E" w:rsidRDefault="00597874" w:rsidP="0075688F">
            <w:pPr>
              <w:spacing w:line="276" w:lineRule="auto"/>
              <w:contextualSpacing/>
              <w:jc w:val="both"/>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Language</w:t>
            </w:r>
          </w:p>
        </w:tc>
        <w:tc>
          <w:tcPr>
            <w:tcW w:w="3209" w:type="dxa"/>
          </w:tcPr>
          <w:p w14:paraId="4FB70BAB" w14:textId="21995512"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English and Indonesian</w:t>
            </w:r>
          </w:p>
        </w:tc>
        <w:tc>
          <w:tcPr>
            <w:tcW w:w="3210" w:type="dxa"/>
          </w:tcPr>
          <w:p w14:paraId="3C477CEF" w14:textId="24938845"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Other than English and Indonesian</w:t>
            </w:r>
          </w:p>
        </w:tc>
      </w:tr>
      <w:tr w:rsidR="00597874" w:rsidRPr="0099292E" w14:paraId="32A7D447" w14:textId="77777777" w:rsidTr="00EF42DC">
        <w:tc>
          <w:tcPr>
            <w:tcW w:w="3209" w:type="dxa"/>
          </w:tcPr>
          <w:p w14:paraId="72D8106A" w14:textId="28BA2A9B" w:rsidR="00597874" w:rsidRPr="0099292E" w:rsidRDefault="00597874" w:rsidP="0075688F">
            <w:pPr>
              <w:spacing w:line="276" w:lineRule="auto"/>
              <w:contextualSpacing/>
              <w:jc w:val="both"/>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Time Frame</w:t>
            </w:r>
          </w:p>
        </w:tc>
        <w:tc>
          <w:tcPr>
            <w:tcW w:w="3209" w:type="dxa"/>
          </w:tcPr>
          <w:p w14:paraId="65FA9DCE" w14:textId="12FC855C"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2015-2025</w:t>
            </w:r>
          </w:p>
        </w:tc>
        <w:tc>
          <w:tcPr>
            <w:tcW w:w="3210" w:type="dxa"/>
          </w:tcPr>
          <w:p w14:paraId="5A84C5DF" w14:textId="123B9CA4"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Before 2015</w:t>
            </w:r>
          </w:p>
        </w:tc>
      </w:tr>
      <w:tr w:rsidR="00597874" w:rsidRPr="0099292E" w14:paraId="0F72F0EE" w14:textId="77777777" w:rsidTr="00EF42DC">
        <w:tc>
          <w:tcPr>
            <w:tcW w:w="3209" w:type="dxa"/>
          </w:tcPr>
          <w:p w14:paraId="6B878095" w14:textId="3B278EE7" w:rsidR="00597874" w:rsidRPr="0099292E" w:rsidRDefault="00597874" w:rsidP="0075688F">
            <w:pPr>
              <w:spacing w:line="276" w:lineRule="auto"/>
              <w:contextualSpacing/>
              <w:jc w:val="both"/>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Country Studied</w:t>
            </w:r>
          </w:p>
        </w:tc>
        <w:tc>
          <w:tcPr>
            <w:tcW w:w="3209" w:type="dxa"/>
          </w:tcPr>
          <w:p w14:paraId="485CB755" w14:textId="77777777"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Indonesia</w:t>
            </w:r>
          </w:p>
        </w:tc>
        <w:tc>
          <w:tcPr>
            <w:tcW w:w="3210" w:type="dxa"/>
          </w:tcPr>
          <w:p w14:paraId="27F2249A" w14:textId="7C266844" w:rsidR="00597874" w:rsidRPr="0099292E" w:rsidRDefault="00597874" w:rsidP="0075688F">
            <w:pPr>
              <w:spacing w:line="276" w:lineRule="auto"/>
              <w:contextualSpacing/>
              <w:rPr>
                <w:rFonts w:ascii="Times New Roman" w:eastAsia="Times New Roman" w:hAnsi="Times New Roman" w:cs="Times New Roman"/>
                <w:bCs/>
                <w:lang w:val="en-US"/>
              </w:rPr>
            </w:pPr>
            <w:r w:rsidRPr="0099292E">
              <w:rPr>
                <w:rFonts w:ascii="Times New Roman" w:eastAsia="Times New Roman" w:hAnsi="Times New Roman" w:cs="Times New Roman"/>
                <w:bCs/>
                <w:lang w:val="en-US"/>
              </w:rPr>
              <w:t>Other than Indonesia</w:t>
            </w:r>
          </w:p>
        </w:tc>
      </w:tr>
    </w:tbl>
    <w:p w14:paraId="3E33CAA7" w14:textId="77777777" w:rsidR="00597874" w:rsidRDefault="00597874" w:rsidP="00013F71">
      <w:pPr>
        <w:spacing w:after="0"/>
        <w:ind w:firstLine="426"/>
        <w:contextualSpacing/>
        <w:jc w:val="both"/>
        <w:rPr>
          <w:rFonts w:ascii="Times New Roman" w:eastAsia="Times New Roman" w:hAnsi="Times New Roman" w:cs="Times New Roman"/>
          <w:b/>
          <w:sz w:val="24"/>
          <w:szCs w:val="24"/>
          <w:lang w:val="id-ID"/>
        </w:rPr>
      </w:pPr>
    </w:p>
    <w:p w14:paraId="54DA06E9" w14:textId="77777777" w:rsidR="002C008D" w:rsidRDefault="002C008D" w:rsidP="00013F71">
      <w:pPr>
        <w:spacing w:after="0"/>
        <w:ind w:firstLine="426"/>
        <w:contextualSpacing/>
        <w:jc w:val="both"/>
        <w:rPr>
          <w:rFonts w:ascii="Times New Roman" w:eastAsia="Times New Roman" w:hAnsi="Times New Roman" w:cs="Times New Roman"/>
          <w:b/>
          <w:sz w:val="24"/>
          <w:szCs w:val="24"/>
          <w:lang w:val="id-ID"/>
        </w:rPr>
      </w:pPr>
    </w:p>
    <w:p w14:paraId="4B47FD1F" w14:textId="77777777" w:rsidR="002C008D" w:rsidRPr="002C008D" w:rsidRDefault="002C008D" w:rsidP="00013F71">
      <w:pPr>
        <w:spacing w:after="0"/>
        <w:ind w:firstLine="426"/>
        <w:contextualSpacing/>
        <w:jc w:val="both"/>
        <w:rPr>
          <w:rFonts w:ascii="Times New Roman" w:eastAsia="Times New Roman" w:hAnsi="Times New Roman" w:cs="Times New Roman"/>
          <w:b/>
          <w:sz w:val="24"/>
          <w:szCs w:val="24"/>
          <w:lang w:val="id-ID"/>
        </w:rPr>
      </w:pPr>
    </w:p>
    <w:p w14:paraId="21C8F48A" w14:textId="72E23D86" w:rsidR="00133893" w:rsidRPr="0099292E" w:rsidRDefault="001B4994" w:rsidP="00542793">
      <w:pPr>
        <w:numPr>
          <w:ilvl w:val="0"/>
          <w:numId w:val="1"/>
        </w:numPr>
        <w:pBdr>
          <w:top w:val="nil"/>
          <w:left w:val="nil"/>
          <w:bottom w:val="nil"/>
          <w:right w:val="nil"/>
          <w:between w:val="nil"/>
        </w:pBdr>
        <w:spacing w:after="0"/>
        <w:ind w:left="426" w:hanging="426"/>
        <w:contextualSpacing/>
        <w:rPr>
          <w:rFonts w:ascii="Times New Roman" w:eastAsia="Times New Roman" w:hAnsi="Times New Roman" w:cs="Times New Roman"/>
          <w:b/>
          <w:color w:val="000000"/>
          <w:sz w:val="24"/>
          <w:szCs w:val="24"/>
        </w:rPr>
      </w:pPr>
      <w:r w:rsidRPr="0099292E">
        <w:rPr>
          <w:rFonts w:ascii="Times New Roman" w:eastAsia="Times New Roman" w:hAnsi="Times New Roman" w:cs="Times New Roman"/>
          <w:b/>
          <w:color w:val="000000"/>
          <w:sz w:val="24"/>
          <w:szCs w:val="24"/>
        </w:rPr>
        <w:lastRenderedPageBreak/>
        <w:t xml:space="preserve">Results and Discussion </w:t>
      </w:r>
    </w:p>
    <w:p w14:paraId="324DA4E5" w14:textId="23C67E5B" w:rsidR="001B4994" w:rsidRPr="002C008D" w:rsidRDefault="00710CF4" w:rsidP="002C008D">
      <w:pPr>
        <w:spacing w:after="0"/>
        <w:ind w:firstLine="426"/>
        <w:contextualSpacing/>
        <w:jc w:val="both"/>
        <w:rPr>
          <w:rFonts w:ascii="Times New Roman" w:eastAsia="Times New Roman" w:hAnsi="Times New Roman" w:cs="Times New Roman"/>
          <w:sz w:val="24"/>
          <w:szCs w:val="24"/>
          <w:lang w:val="id-ID"/>
        </w:rPr>
      </w:pPr>
      <w:r w:rsidRPr="0099292E">
        <w:rPr>
          <w:rFonts w:ascii="Times New Roman" w:eastAsia="Times New Roman" w:hAnsi="Times New Roman" w:cs="Times New Roman"/>
          <w:sz w:val="24"/>
          <w:szCs w:val="24"/>
        </w:rPr>
        <w:t xml:space="preserve">After applying the PICO framework alongside the inclusion and exclusion criteria, 66 articles were identified </w:t>
      </w:r>
      <w:r w:rsidR="00CF2ACB">
        <w:rPr>
          <w:rFonts w:ascii="Times New Roman" w:eastAsia="Times New Roman" w:hAnsi="Times New Roman" w:cs="Times New Roman"/>
          <w:sz w:val="24"/>
          <w:szCs w:val="24"/>
        </w:rPr>
        <w:t>to</w:t>
      </w:r>
      <w:r w:rsidRPr="0099292E">
        <w:rPr>
          <w:rFonts w:ascii="Times New Roman" w:eastAsia="Times New Roman" w:hAnsi="Times New Roman" w:cs="Times New Roman"/>
          <w:sz w:val="24"/>
          <w:szCs w:val="24"/>
        </w:rPr>
        <w:t xml:space="preserve"> </w:t>
      </w:r>
      <w:r w:rsidR="00CF2ACB">
        <w:rPr>
          <w:rFonts w:ascii="Times New Roman" w:eastAsia="Times New Roman" w:hAnsi="Times New Roman" w:cs="Times New Roman"/>
          <w:sz w:val="24"/>
          <w:szCs w:val="24"/>
        </w:rPr>
        <w:t>analyze</w:t>
      </w:r>
      <w:r w:rsidRPr="0099292E">
        <w:rPr>
          <w:rFonts w:ascii="Times New Roman" w:eastAsia="Times New Roman" w:hAnsi="Times New Roman" w:cs="Times New Roman"/>
          <w:sz w:val="24"/>
          <w:szCs w:val="24"/>
        </w:rPr>
        <w:t xml:space="preserve"> the relationship between ESG pillars and tax avoidance in Indonesia</w:t>
      </w:r>
      <w:r w:rsidR="0033550F" w:rsidRPr="0099292E">
        <w:rPr>
          <w:rFonts w:ascii="Times New Roman" w:eastAsia="Times New Roman" w:hAnsi="Times New Roman" w:cs="Times New Roman"/>
          <w:sz w:val="24"/>
          <w:szCs w:val="24"/>
        </w:rPr>
        <w:t xml:space="preserve">. </w:t>
      </w:r>
      <w:r w:rsidR="001B4994" w:rsidRPr="0099292E">
        <w:rPr>
          <w:rFonts w:ascii="Times New Roman" w:eastAsia="Times New Roman" w:hAnsi="Times New Roman" w:cs="Times New Roman"/>
          <w:sz w:val="24"/>
          <w:szCs w:val="24"/>
        </w:rPr>
        <w:t>This section presents the results of the classification and analysis of the 66 articles sampled</w:t>
      </w:r>
      <w:r w:rsidR="009A08C3">
        <w:rPr>
          <w:rFonts w:ascii="Times New Roman" w:eastAsia="Times New Roman" w:hAnsi="Times New Roman" w:cs="Times New Roman"/>
          <w:sz w:val="24"/>
          <w:szCs w:val="24"/>
        </w:rPr>
        <w:t xml:space="preserve"> and</w:t>
      </w:r>
      <w:r w:rsidR="001B4994" w:rsidRPr="0099292E">
        <w:rPr>
          <w:rFonts w:ascii="Times New Roman" w:eastAsia="Times New Roman" w:hAnsi="Times New Roman" w:cs="Times New Roman"/>
          <w:sz w:val="24"/>
          <w:szCs w:val="24"/>
        </w:rPr>
        <w:t xml:space="preserve"> an in-depth interpretation of the findings. The analysis is based on the distribution of articles, the independent variable (ESG) studied, the dominant ESG pillar, the type of business sector, the measurement of tax avoidance, and the supporting theories used. </w:t>
      </w:r>
      <w:r w:rsidRPr="0099292E">
        <w:rPr>
          <w:rFonts w:ascii="Times New Roman" w:eastAsia="Times New Roman" w:hAnsi="Times New Roman" w:cs="Times New Roman"/>
          <w:sz w:val="24"/>
          <w:szCs w:val="24"/>
        </w:rPr>
        <w:t>The primary purpose of this classification is to map research dynamics and identify areas that warrant further investigation</w:t>
      </w:r>
      <w:r w:rsidR="001B4994" w:rsidRPr="0099292E">
        <w:rPr>
          <w:rFonts w:ascii="Times New Roman" w:eastAsia="Times New Roman" w:hAnsi="Times New Roman" w:cs="Times New Roman"/>
          <w:sz w:val="24"/>
          <w:szCs w:val="24"/>
        </w:rPr>
        <w:t>.</w:t>
      </w:r>
    </w:p>
    <w:p w14:paraId="05CCFC70" w14:textId="5A9099C4" w:rsidR="00E971A3" w:rsidRPr="006C1ECD" w:rsidRDefault="001B4994" w:rsidP="00542793">
      <w:pPr>
        <w:spacing w:after="0"/>
        <w:contextualSpacing/>
        <w:jc w:val="both"/>
        <w:rPr>
          <w:rFonts w:ascii="Times New Roman" w:eastAsia="Times New Roman" w:hAnsi="Times New Roman" w:cs="Times New Roman"/>
          <w:b/>
          <w:bCs/>
          <w:i/>
          <w:sz w:val="24"/>
          <w:szCs w:val="24"/>
        </w:rPr>
      </w:pPr>
      <w:r w:rsidRPr="006C1ECD">
        <w:rPr>
          <w:rFonts w:ascii="Times New Roman" w:eastAsia="Times New Roman" w:hAnsi="Times New Roman" w:cs="Times New Roman"/>
          <w:b/>
          <w:bCs/>
          <w:i/>
          <w:sz w:val="24"/>
          <w:szCs w:val="24"/>
        </w:rPr>
        <w:t>Description of Sample Articles by Journal and Year of Publication</w:t>
      </w:r>
    </w:p>
    <w:p w14:paraId="2DA5917A" w14:textId="3D60AEDD" w:rsidR="001F2103" w:rsidRPr="0099292E" w:rsidRDefault="001B4994" w:rsidP="00F428C4">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From the identification of 66 relevant articles from 24 Sinta 1 and Sinta 2 accredited journals, published between 2015 and 2025, it can be seen in Table </w:t>
      </w:r>
      <w:r w:rsidR="001F50EF" w:rsidRPr="0099292E">
        <w:rPr>
          <w:rFonts w:ascii="Times New Roman" w:eastAsia="Times New Roman" w:hAnsi="Times New Roman" w:cs="Times New Roman"/>
          <w:sz w:val="24"/>
          <w:szCs w:val="24"/>
        </w:rPr>
        <w:t>3</w:t>
      </w:r>
      <w:r w:rsidRPr="0099292E">
        <w:rPr>
          <w:rFonts w:ascii="Times New Roman" w:eastAsia="Times New Roman" w:hAnsi="Times New Roman" w:cs="Times New Roman"/>
          <w:sz w:val="24"/>
          <w:szCs w:val="24"/>
        </w:rPr>
        <w:t xml:space="preserve"> the distribution of articles in each journal studied.</w:t>
      </w:r>
    </w:p>
    <w:p w14:paraId="6B7D5F34" w14:textId="77777777" w:rsidR="000411A1" w:rsidRPr="0099292E" w:rsidRDefault="000411A1" w:rsidP="001B4994">
      <w:pPr>
        <w:spacing w:after="0"/>
        <w:ind w:firstLine="720"/>
        <w:contextualSpacing/>
        <w:jc w:val="both"/>
        <w:rPr>
          <w:rFonts w:ascii="Times New Roman" w:eastAsia="Times New Roman" w:hAnsi="Times New Roman" w:cs="Times New Roman"/>
          <w:sz w:val="24"/>
          <w:szCs w:val="24"/>
        </w:rPr>
      </w:pPr>
    </w:p>
    <w:p w14:paraId="317B90F2" w14:textId="5714023A" w:rsidR="00272F23" w:rsidRPr="0075688F" w:rsidRDefault="00272F23" w:rsidP="0075688F">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75688F">
        <w:rPr>
          <w:rFonts w:ascii="Times New Roman" w:hAnsi="Times New Roman" w:cs="Times New Roman"/>
          <w:b/>
          <w:bCs/>
          <w:i w:val="0"/>
          <w:iCs w:val="0"/>
          <w:color w:val="000000" w:themeColor="text1"/>
          <w:sz w:val="24"/>
          <w:szCs w:val="24"/>
        </w:rPr>
        <w:t>Tab</w:t>
      </w:r>
      <w:r w:rsidR="00F270F6" w:rsidRPr="0075688F">
        <w:rPr>
          <w:rFonts w:ascii="Times New Roman" w:hAnsi="Times New Roman" w:cs="Times New Roman"/>
          <w:b/>
          <w:bCs/>
          <w:i w:val="0"/>
          <w:iCs w:val="0"/>
          <w:color w:val="000000" w:themeColor="text1"/>
          <w:sz w:val="24"/>
          <w:szCs w:val="24"/>
        </w:rPr>
        <w:t>le</w:t>
      </w:r>
      <w:r w:rsidRPr="0075688F">
        <w:rPr>
          <w:rFonts w:ascii="Times New Roman" w:hAnsi="Times New Roman" w:cs="Times New Roman"/>
          <w:b/>
          <w:bCs/>
          <w:i w:val="0"/>
          <w:iCs w:val="0"/>
          <w:color w:val="000000" w:themeColor="text1"/>
          <w:sz w:val="24"/>
          <w:szCs w:val="24"/>
        </w:rPr>
        <w:t xml:space="preserve"> </w:t>
      </w:r>
      <w:r w:rsidR="001F50EF" w:rsidRPr="0075688F">
        <w:rPr>
          <w:rFonts w:ascii="Times New Roman" w:hAnsi="Times New Roman" w:cs="Times New Roman"/>
          <w:b/>
          <w:bCs/>
          <w:i w:val="0"/>
          <w:iCs w:val="0"/>
          <w:color w:val="000000" w:themeColor="text1"/>
          <w:sz w:val="24"/>
          <w:szCs w:val="24"/>
        </w:rPr>
        <w:t>3</w:t>
      </w:r>
      <w:r w:rsidRPr="0075688F">
        <w:rPr>
          <w:rFonts w:ascii="Times New Roman" w:hAnsi="Times New Roman" w:cs="Times New Roman"/>
          <w:b/>
          <w:bCs/>
          <w:i w:val="0"/>
          <w:iCs w:val="0"/>
          <w:color w:val="000000" w:themeColor="text1"/>
          <w:sz w:val="24"/>
          <w:szCs w:val="24"/>
        </w:rPr>
        <w:t xml:space="preserve">. </w:t>
      </w:r>
      <w:r w:rsidR="00F270F6" w:rsidRPr="0075688F">
        <w:rPr>
          <w:rFonts w:ascii="Times New Roman" w:hAnsi="Times New Roman" w:cs="Times New Roman"/>
          <w:b/>
          <w:bCs/>
          <w:i w:val="0"/>
          <w:iCs w:val="0"/>
          <w:color w:val="000000" w:themeColor="text1"/>
          <w:sz w:val="24"/>
          <w:szCs w:val="24"/>
        </w:rPr>
        <w:t>Number of Articles by Journal</w:t>
      </w:r>
    </w:p>
    <w:tbl>
      <w:tblPr>
        <w:tblStyle w:val="PlainTable21"/>
        <w:tblpPr w:leftFromText="180" w:rightFromText="180" w:vertAnchor="text" w:tblpY="1"/>
        <w:tblOverlap w:val="never"/>
        <w:tblW w:w="8897" w:type="dxa"/>
        <w:tblLayout w:type="fixed"/>
        <w:tblLook w:val="04A0" w:firstRow="1" w:lastRow="0" w:firstColumn="1" w:lastColumn="0" w:noHBand="0" w:noVBand="1"/>
      </w:tblPr>
      <w:tblGrid>
        <w:gridCol w:w="4612"/>
        <w:gridCol w:w="1592"/>
        <w:gridCol w:w="1431"/>
        <w:gridCol w:w="1262"/>
      </w:tblGrid>
      <w:tr w:rsidR="004C4BC8" w:rsidRPr="0099292E" w14:paraId="32E50656" w14:textId="77777777" w:rsidTr="00357B5D">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4612" w:type="dxa"/>
            <w:noWrap/>
            <w:vAlign w:val="center"/>
            <w:hideMark/>
          </w:tcPr>
          <w:p w14:paraId="108A4ADE" w14:textId="03961241" w:rsidR="004C4BC8" w:rsidRPr="0099292E" w:rsidRDefault="004C4BC8" w:rsidP="00357B5D">
            <w:pPr>
              <w:spacing w:line="276"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J</w:t>
            </w:r>
            <w:r w:rsidR="001B4994" w:rsidRPr="0099292E">
              <w:rPr>
                <w:rFonts w:ascii="Times New Roman" w:eastAsia="Times New Roman" w:hAnsi="Times New Roman" w:cs="Times New Roman"/>
                <w:color w:val="000000"/>
              </w:rPr>
              <w:t>o</w:t>
            </w:r>
            <w:r w:rsidRPr="0099292E">
              <w:rPr>
                <w:rFonts w:ascii="Times New Roman" w:eastAsia="Times New Roman" w:hAnsi="Times New Roman" w:cs="Times New Roman"/>
                <w:color w:val="000000"/>
              </w:rPr>
              <w:t>urnal</w:t>
            </w:r>
          </w:p>
        </w:tc>
        <w:tc>
          <w:tcPr>
            <w:tcW w:w="1592" w:type="dxa"/>
            <w:noWrap/>
            <w:vAlign w:val="center"/>
            <w:hideMark/>
          </w:tcPr>
          <w:p w14:paraId="2466DD20" w14:textId="0C5A0DBB" w:rsidR="004C4BC8" w:rsidRPr="0099292E" w:rsidRDefault="00F270F6" w:rsidP="0075688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Accreditation</w:t>
            </w:r>
          </w:p>
        </w:tc>
        <w:tc>
          <w:tcPr>
            <w:tcW w:w="1431" w:type="dxa"/>
            <w:noWrap/>
            <w:vAlign w:val="center"/>
            <w:hideMark/>
          </w:tcPr>
          <w:p w14:paraId="193DCA20" w14:textId="4EF44D5B" w:rsidR="004C4BC8" w:rsidRPr="0099292E" w:rsidRDefault="00F270F6" w:rsidP="0075688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Number of</w:t>
            </w:r>
            <w:r w:rsidR="004C4BC8" w:rsidRPr="0099292E">
              <w:rPr>
                <w:rFonts w:ascii="Times New Roman" w:eastAsia="Times New Roman" w:hAnsi="Times New Roman" w:cs="Times New Roman"/>
                <w:color w:val="000000"/>
              </w:rPr>
              <w:t xml:space="preserve"> Ar</w:t>
            </w:r>
            <w:r w:rsidRPr="0099292E">
              <w:rPr>
                <w:rFonts w:ascii="Times New Roman" w:eastAsia="Times New Roman" w:hAnsi="Times New Roman" w:cs="Times New Roman"/>
                <w:color w:val="000000"/>
              </w:rPr>
              <w:t>ticles</w:t>
            </w:r>
          </w:p>
        </w:tc>
        <w:tc>
          <w:tcPr>
            <w:tcW w:w="1262" w:type="dxa"/>
            <w:noWrap/>
            <w:vAlign w:val="center"/>
            <w:hideMark/>
          </w:tcPr>
          <w:p w14:paraId="727FFB9F" w14:textId="11CEBFF9" w:rsidR="004C4BC8" w:rsidRPr="0099292E" w:rsidRDefault="004C4BC8" w:rsidP="00357B5D">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Per</w:t>
            </w:r>
            <w:r w:rsidR="00F270F6" w:rsidRPr="0099292E">
              <w:rPr>
                <w:rFonts w:ascii="Times New Roman" w:eastAsia="Times New Roman" w:hAnsi="Times New Roman" w:cs="Times New Roman"/>
                <w:color w:val="000000"/>
              </w:rPr>
              <w:t>centage</w:t>
            </w:r>
          </w:p>
        </w:tc>
      </w:tr>
      <w:tr w:rsidR="004C4BC8" w:rsidRPr="0099292E" w14:paraId="1E68DA77"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bottom w:val="nil"/>
            </w:tcBorders>
            <w:noWrap/>
            <w:hideMark/>
          </w:tcPr>
          <w:p w14:paraId="1730E996"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Reviu Akuntansi dan Keuangan</w:t>
            </w:r>
          </w:p>
        </w:tc>
        <w:tc>
          <w:tcPr>
            <w:tcW w:w="1592" w:type="dxa"/>
            <w:tcBorders>
              <w:bottom w:val="nil"/>
            </w:tcBorders>
            <w:noWrap/>
            <w:hideMark/>
          </w:tcPr>
          <w:p w14:paraId="4A7DD8E3"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bottom w:val="nil"/>
            </w:tcBorders>
            <w:noWrap/>
            <w:hideMark/>
          </w:tcPr>
          <w:p w14:paraId="58F65B8C"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p>
        </w:tc>
        <w:tc>
          <w:tcPr>
            <w:tcW w:w="1262" w:type="dxa"/>
            <w:tcBorders>
              <w:bottom w:val="nil"/>
            </w:tcBorders>
            <w:noWrap/>
            <w:hideMark/>
          </w:tcPr>
          <w:p w14:paraId="7E22F6F4" w14:textId="6E75D493"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10</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61%</w:t>
            </w:r>
          </w:p>
        </w:tc>
      </w:tr>
      <w:tr w:rsidR="004C4BC8" w:rsidRPr="0099292E" w14:paraId="5CB453A9"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3791C965"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Riset Akuntansi dan Keuangan Indonesia</w:t>
            </w:r>
          </w:p>
        </w:tc>
        <w:tc>
          <w:tcPr>
            <w:tcW w:w="1592" w:type="dxa"/>
            <w:tcBorders>
              <w:top w:val="nil"/>
              <w:bottom w:val="nil"/>
            </w:tcBorders>
            <w:noWrap/>
            <w:hideMark/>
          </w:tcPr>
          <w:p w14:paraId="6EE7EA13"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520BD88E"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p>
        </w:tc>
        <w:tc>
          <w:tcPr>
            <w:tcW w:w="1262" w:type="dxa"/>
            <w:tcBorders>
              <w:top w:val="nil"/>
              <w:bottom w:val="nil"/>
            </w:tcBorders>
            <w:noWrap/>
            <w:hideMark/>
          </w:tcPr>
          <w:p w14:paraId="2B7FB0F4" w14:textId="0D7C103B"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10</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61%</w:t>
            </w:r>
          </w:p>
        </w:tc>
      </w:tr>
      <w:tr w:rsidR="004C4BC8" w:rsidRPr="0099292E" w14:paraId="21092443"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0CFA5E21"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Dinamika Akuntansi</w:t>
            </w:r>
          </w:p>
        </w:tc>
        <w:tc>
          <w:tcPr>
            <w:tcW w:w="1592" w:type="dxa"/>
            <w:tcBorders>
              <w:top w:val="nil"/>
              <w:bottom w:val="nil"/>
            </w:tcBorders>
            <w:noWrap/>
            <w:hideMark/>
          </w:tcPr>
          <w:p w14:paraId="7BF9C265"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37A3958D"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6</w:t>
            </w:r>
          </w:p>
        </w:tc>
        <w:tc>
          <w:tcPr>
            <w:tcW w:w="1262" w:type="dxa"/>
            <w:tcBorders>
              <w:top w:val="nil"/>
              <w:bottom w:val="nil"/>
            </w:tcBorders>
            <w:noWrap/>
            <w:hideMark/>
          </w:tcPr>
          <w:p w14:paraId="19AD1B9D" w14:textId="45666F68"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9</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09%</w:t>
            </w:r>
          </w:p>
        </w:tc>
      </w:tr>
      <w:tr w:rsidR="004C4BC8" w:rsidRPr="0099292E" w14:paraId="22E818AA"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76C0EA17"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Accounting Analysis Journal</w:t>
            </w:r>
          </w:p>
        </w:tc>
        <w:tc>
          <w:tcPr>
            <w:tcW w:w="1592" w:type="dxa"/>
            <w:tcBorders>
              <w:top w:val="nil"/>
              <w:bottom w:val="nil"/>
            </w:tcBorders>
            <w:noWrap/>
            <w:hideMark/>
          </w:tcPr>
          <w:p w14:paraId="61E166B2"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1F2D9BB3"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262" w:type="dxa"/>
            <w:tcBorders>
              <w:top w:val="nil"/>
              <w:bottom w:val="nil"/>
            </w:tcBorders>
            <w:noWrap/>
            <w:hideMark/>
          </w:tcPr>
          <w:p w14:paraId="33BADE1F" w14:textId="1D24CA7C"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58%</w:t>
            </w:r>
          </w:p>
        </w:tc>
      </w:tr>
      <w:tr w:rsidR="004C4BC8" w:rsidRPr="0099292E" w14:paraId="08E2039C"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3D06FD96"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Ilmiah Akuntansi dan Bisnis</w:t>
            </w:r>
          </w:p>
        </w:tc>
        <w:tc>
          <w:tcPr>
            <w:tcW w:w="1592" w:type="dxa"/>
            <w:tcBorders>
              <w:top w:val="nil"/>
              <w:bottom w:val="nil"/>
            </w:tcBorders>
            <w:noWrap/>
            <w:hideMark/>
          </w:tcPr>
          <w:p w14:paraId="503B3670"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0AA44374"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262" w:type="dxa"/>
            <w:tcBorders>
              <w:top w:val="nil"/>
              <w:bottom w:val="nil"/>
            </w:tcBorders>
            <w:noWrap/>
            <w:hideMark/>
          </w:tcPr>
          <w:p w14:paraId="5ABC67AB" w14:textId="5E91018D"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58%</w:t>
            </w:r>
          </w:p>
        </w:tc>
      </w:tr>
      <w:tr w:rsidR="004C4BC8" w:rsidRPr="0099292E" w14:paraId="3B36797C"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61B12E25"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Akuntansi &amp; Auditing Indonesia</w:t>
            </w:r>
          </w:p>
        </w:tc>
        <w:tc>
          <w:tcPr>
            <w:tcW w:w="1592" w:type="dxa"/>
            <w:tcBorders>
              <w:top w:val="nil"/>
              <w:bottom w:val="nil"/>
            </w:tcBorders>
            <w:noWrap/>
            <w:hideMark/>
          </w:tcPr>
          <w:p w14:paraId="65441D4D"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01250757"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p>
        </w:tc>
        <w:tc>
          <w:tcPr>
            <w:tcW w:w="1262" w:type="dxa"/>
            <w:tcBorders>
              <w:top w:val="nil"/>
              <w:bottom w:val="nil"/>
            </w:tcBorders>
            <w:noWrap/>
            <w:hideMark/>
          </w:tcPr>
          <w:p w14:paraId="04974B75" w14:textId="12A13D0D"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6</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06%</w:t>
            </w:r>
          </w:p>
        </w:tc>
      </w:tr>
      <w:tr w:rsidR="004C4BC8" w:rsidRPr="0099292E" w14:paraId="2CC7D7FE"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33DF4EF1"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Ekonomi Modernisasi</w:t>
            </w:r>
          </w:p>
        </w:tc>
        <w:tc>
          <w:tcPr>
            <w:tcW w:w="1592" w:type="dxa"/>
            <w:tcBorders>
              <w:top w:val="nil"/>
              <w:bottom w:val="nil"/>
            </w:tcBorders>
            <w:noWrap/>
            <w:hideMark/>
          </w:tcPr>
          <w:p w14:paraId="18E43351"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05917402"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p>
        </w:tc>
        <w:tc>
          <w:tcPr>
            <w:tcW w:w="1262" w:type="dxa"/>
            <w:tcBorders>
              <w:top w:val="nil"/>
              <w:bottom w:val="nil"/>
            </w:tcBorders>
            <w:noWrap/>
            <w:hideMark/>
          </w:tcPr>
          <w:p w14:paraId="381C3271" w14:textId="4A36A2FE"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6</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06%</w:t>
            </w:r>
          </w:p>
        </w:tc>
      </w:tr>
      <w:tr w:rsidR="004C4BC8" w:rsidRPr="0099292E" w14:paraId="1C676EAC"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09B5F4EE"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Akuntansi dan Bisnis</w:t>
            </w:r>
          </w:p>
        </w:tc>
        <w:tc>
          <w:tcPr>
            <w:tcW w:w="1592" w:type="dxa"/>
            <w:tcBorders>
              <w:top w:val="nil"/>
              <w:bottom w:val="nil"/>
            </w:tcBorders>
            <w:noWrap/>
            <w:hideMark/>
          </w:tcPr>
          <w:p w14:paraId="24821725"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2DBEA143"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p>
        </w:tc>
        <w:tc>
          <w:tcPr>
            <w:tcW w:w="1262" w:type="dxa"/>
            <w:tcBorders>
              <w:top w:val="nil"/>
              <w:bottom w:val="nil"/>
            </w:tcBorders>
            <w:noWrap/>
            <w:hideMark/>
          </w:tcPr>
          <w:p w14:paraId="053D515F" w14:textId="02D42955"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55%</w:t>
            </w:r>
          </w:p>
        </w:tc>
      </w:tr>
      <w:tr w:rsidR="004C4BC8" w:rsidRPr="0099292E" w14:paraId="40928526"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470D8910"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ASET (Akuntansi Riset)</w:t>
            </w:r>
          </w:p>
        </w:tc>
        <w:tc>
          <w:tcPr>
            <w:tcW w:w="1592" w:type="dxa"/>
            <w:tcBorders>
              <w:top w:val="nil"/>
              <w:bottom w:val="nil"/>
            </w:tcBorders>
            <w:noWrap/>
            <w:hideMark/>
          </w:tcPr>
          <w:p w14:paraId="6D4FF6B6"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2FB8A465"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p>
        </w:tc>
        <w:tc>
          <w:tcPr>
            <w:tcW w:w="1262" w:type="dxa"/>
            <w:tcBorders>
              <w:top w:val="nil"/>
              <w:bottom w:val="nil"/>
            </w:tcBorders>
            <w:noWrap/>
            <w:hideMark/>
          </w:tcPr>
          <w:p w14:paraId="59878F55" w14:textId="2D1EC6BC"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55%</w:t>
            </w:r>
          </w:p>
        </w:tc>
      </w:tr>
      <w:tr w:rsidR="004C4BC8" w:rsidRPr="0099292E" w14:paraId="54DAA334"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500AD167"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Studi Akuntansi dan Keuangan</w:t>
            </w:r>
          </w:p>
        </w:tc>
        <w:tc>
          <w:tcPr>
            <w:tcW w:w="1592" w:type="dxa"/>
            <w:tcBorders>
              <w:top w:val="nil"/>
              <w:bottom w:val="nil"/>
            </w:tcBorders>
            <w:noWrap/>
            <w:hideMark/>
          </w:tcPr>
          <w:p w14:paraId="4A104B03"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6E1A8FD3"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262" w:type="dxa"/>
            <w:tcBorders>
              <w:top w:val="nil"/>
              <w:bottom w:val="nil"/>
            </w:tcBorders>
            <w:noWrap/>
            <w:hideMark/>
          </w:tcPr>
          <w:p w14:paraId="0C0C7469" w14:textId="6A2FCE31"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03%</w:t>
            </w:r>
          </w:p>
        </w:tc>
      </w:tr>
      <w:tr w:rsidR="004C4BC8" w:rsidRPr="0099292E" w14:paraId="7847BFBE"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62B3F188"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Etikonomi</w:t>
            </w:r>
          </w:p>
        </w:tc>
        <w:tc>
          <w:tcPr>
            <w:tcW w:w="1592" w:type="dxa"/>
            <w:tcBorders>
              <w:top w:val="nil"/>
              <w:bottom w:val="nil"/>
            </w:tcBorders>
            <w:noWrap/>
            <w:hideMark/>
          </w:tcPr>
          <w:p w14:paraId="2C45E0F9"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1</w:t>
            </w:r>
          </w:p>
        </w:tc>
        <w:tc>
          <w:tcPr>
            <w:tcW w:w="1431" w:type="dxa"/>
            <w:tcBorders>
              <w:top w:val="nil"/>
              <w:bottom w:val="nil"/>
            </w:tcBorders>
            <w:noWrap/>
            <w:hideMark/>
          </w:tcPr>
          <w:p w14:paraId="0FD47FE2"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262" w:type="dxa"/>
            <w:tcBorders>
              <w:top w:val="nil"/>
              <w:bottom w:val="nil"/>
            </w:tcBorders>
            <w:noWrap/>
            <w:hideMark/>
          </w:tcPr>
          <w:p w14:paraId="663AC941" w14:textId="53284DA5"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03%</w:t>
            </w:r>
          </w:p>
        </w:tc>
      </w:tr>
      <w:tr w:rsidR="004C4BC8" w:rsidRPr="0099292E" w14:paraId="3F1CCF6C"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7393C2E6"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Akuntansi dan Keuangan</w:t>
            </w:r>
          </w:p>
        </w:tc>
        <w:tc>
          <w:tcPr>
            <w:tcW w:w="1592" w:type="dxa"/>
            <w:tcBorders>
              <w:top w:val="nil"/>
              <w:bottom w:val="nil"/>
            </w:tcBorders>
            <w:noWrap/>
            <w:hideMark/>
          </w:tcPr>
          <w:p w14:paraId="06A8DA88"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16D45951"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262" w:type="dxa"/>
            <w:tcBorders>
              <w:top w:val="nil"/>
              <w:bottom w:val="nil"/>
            </w:tcBorders>
            <w:noWrap/>
            <w:hideMark/>
          </w:tcPr>
          <w:p w14:paraId="6B733DF5" w14:textId="0DF4DA3B"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03%</w:t>
            </w:r>
          </w:p>
        </w:tc>
      </w:tr>
      <w:tr w:rsidR="004C4BC8" w:rsidRPr="0099292E" w14:paraId="05EABE67"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4F4E3FF8"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Akuntansi dan Keuangan Indonesia</w:t>
            </w:r>
          </w:p>
        </w:tc>
        <w:tc>
          <w:tcPr>
            <w:tcW w:w="1592" w:type="dxa"/>
            <w:tcBorders>
              <w:top w:val="nil"/>
              <w:bottom w:val="nil"/>
            </w:tcBorders>
            <w:noWrap/>
            <w:hideMark/>
          </w:tcPr>
          <w:p w14:paraId="07F8EFDA"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7416411A"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262" w:type="dxa"/>
            <w:tcBorders>
              <w:top w:val="nil"/>
              <w:bottom w:val="nil"/>
            </w:tcBorders>
            <w:noWrap/>
            <w:hideMark/>
          </w:tcPr>
          <w:p w14:paraId="14CC8A85" w14:textId="06BE10A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03%</w:t>
            </w:r>
          </w:p>
        </w:tc>
      </w:tr>
      <w:tr w:rsidR="004C4BC8" w:rsidRPr="0099292E" w14:paraId="01B37AAE"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19971DBB"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Akuntansi Multiparadigma</w:t>
            </w:r>
          </w:p>
        </w:tc>
        <w:tc>
          <w:tcPr>
            <w:tcW w:w="1592" w:type="dxa"/>
            <w:tcBorders>
              <w:top w:val="nil"/>
              <w:bottom w:val="nil"/>
            </w:tcBorders>
            <w:noWrap/>
            <w:hideMark/>
          </w:tcPr>
          <w:p w14:paraId="555C5E22"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539417F7"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262" w:type="dxa"/>
            <w:tcBorders>
              <w:top w:val="nil"/>
              <w:bottom w:val="nil"/>
            </w:tcBorders>
            <w:noWrap/>
            <w:hideMark/>
          </w:tcPr>
          <w:p w14:paraId="736841DC" w14:textId="20534942"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03%</w:t>
            </w:r>
          </w:p>
        </w:tc>
      </w:tr>
      <w:tr w:rsidR="004C4BC8" w:rsidRPr="0099292E" w14:paraId="4490ECD4"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5D760C19"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Ilmiah Akuntansi</w:t>
            </w:r>
          </w:p>
        </w:tc>
        <w:tc>
          <w:tcPr>
            <w:tcW w:w="1592" w:type="dxa"/>
            <w:tcBorders>
              <w:top w:val="nil"/>
              <w:bottom w:val="nil"/>
            </w:tcBorders>
            <w:noWrap/>
            <w:hideMark/>
          </w:tcPr>
          <w:p w14:paraId="14BAFF57"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64E2786E"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262" w:type="dxa"/>
            <w:tcBorders>
              <w:top w:val="nil"/>
              <w:bottom w:val="nil"/>
            </w:tcBorders>
            <w:noWrap/>
            <w:hideMark/>
          </w:tcPr>
          <w:p w14:paraId="5F330D45" w14:textId="26D1C898"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03%</w:t>
            </w:r>
          </w:p>
        </w:tc>
      </w:tr>
      <w:tr w:rsidR="004C4BC8" w:rsidRPr="0099292E" w14:paraId="2E8F1DA4"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06DA55EA"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Riset Akuntansi Kontemporer</w:t>
            </w:r>
          </w:p>
        </w:tc>
        <w:tc>
          <w:tcPr>
            <w:tcW w:w="1592" w:type="dxa"/>
            <w:tcBorders>
              <w:top w:val="nil"/>
              <w:bottom w:val="nil"/>
            </w:tcBorders>
            <w:noWrap/>
            <w:hideMark/>
          </w:tcPr>
          <w:p w14:paraId="011E9DC5"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0E97450B"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262" w:type="dxa"/>
            <w:tcBorders>
              <w:top w:val="nil"/>
              <w:bottom w:val="nil"/>
            </w:tcBorders>
            <w:noWrap/>
            <w:hideMark/>
          </w:tcPr>
          <w:p w14:paraId="5C406C7F" w14:textId="4F343072"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03%</w:t>
            </w:r>
          </w:p>
        </w:tc>
      </w:tr>
      <w:tr w:rsidR="004C4BC8" w:rsidRPr="0099292E" w14:paraId="294E8C0F"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4370E21D"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Indonesian Journal of Sustainability Accounting and Management</w:t>
            </w:r>
          </w:p>
        </w:tc>
        <w:tc>
          <w:tcPr>
            <w:tcW w:w="1592" w:type="dxa"/>
            <w:tcBorders>
              <w:top w:val="nil"/>
              <w:bottom w:val="nil"/>
            </w:tcBorders>
            <w:noWrap/>
            <w:hideMark/>
          </w:tcPr>
          <w:p w14:paraId="5C9F3B97"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63BDED84"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nil"/>
            </w:tcBorders>
            <w:noWrap/>
            <w:hideMark/>
          </w:tcPr>
          <w:p w14:paraId="084DBCBE" w14:textId="705B1571"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r w:rsidR="004C4BC8" w:rsidRPr="0099292E" w14:paraId="72C1BA15"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455FD66B"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Integrated Journal of Business and Economics</w:t>
            </w:r>
          </w:p>
        </w:tc>
        <w:tc>
          <w:tcPr>
            <w:tcW w:w="1592" w:type="dxa"/>
            <w:tcBorders>
              <w:top w:val="nil"/>
              <w:bottom w:val="nil"/>
            </w:tcBorders>
            <w:noWrap/>
            <w:hideMark/>
          </w:tcPr>
          <w:p w14:paraId="08B19ED7"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21275B06"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nil"/>
            </w:tcBorders>
            <w:noWrap/>
            <w:hideMark/>
          </w:tcPr>
          <w:p w14:paraId="7DDBC281" w14:textId="07A5BD1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r w:rsidR="004C4BC8" w:rsidRPr="0099292E" w14:paraId="577B1D83"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0D0CB523"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JEMA: Jurnal Ilmiah Bidang Akuntansi dan Manajemen</w:t>
            </w:r>
          </w:p>
        </w:tc>
        <w:tc>
          <w:tcPr>
            <w:tcW w:w="1592" w:type="dxa"/>
            <w:tcBorders>
              <w:top w:val="nil"/>
              <w:bottom w:val="nil"/>
            </w:tcBorders>
            <w:noWrap/>
            <w:hideMark/>
          </w:tcPr>
          <w:p w14:paraId="3B8DBCC8"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47901FEB"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nil"/>
            </w:tcBorders>
            <w:noWrap/>
            <w:hideMark/>
          </w:tcPr>
          <w:p w14:paraId="7F255D59" w14:textId="37240830"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r w:rsidR="004C4BC8" w:rsidRPr="0099292E" w14:paraId="5AD8943B"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2927FFEF"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Journal of Indonesian Economy and Business</w:t>
            </w:r>
          </w:p>
        </w:tc>
        <w:tc>
          <w:tcPr>
            <w:tcW w:w="1592" w:type="dxa"/>
            <w:tcBorders>
              <w:top w:val="nil"/>
              <w:bottom w:val="nil"/>
            </w:tcBorders>
            <w:noWrap/>
            <w:hideMark/>
          </w:tcPr>
          <w:p w14:paraId="7E924964"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1</w:t>
            </w:r>
          </w:p>
        </w:tc>
        <w:tc>
          <w:tcPr>
            <w:tcW w:w="1431" w:type="dxa"/>
            <w:tcBorders>
              <w:top w:val="nil"/>
              <w:bottom w:val="nil"/>
            </w:tcBorders>
            <w:noWrap/>
            <w:hideMark/>
          </w:tcPr>
          <w:p w14:paraId="4D166BCD"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nil"/>
            </w:tcBorders>
            <w:noWrap/>
            <w:hideMark/>
          </w:tcPr>
          <w:p w14:paraId="703275A8" w14:textId="4805BE89"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r w:rsidR="004C4BC8" w:rsidRPr="0099292E" w14:paraId="1E14A205"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41BB9258"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Ekonomi dan Bisnis</w:t>
            </w:r>
          </w:p>
        </w:tc>
        <w:tc>
          <w:tcPr>
            <w:tcW w:w="1592" w:type="dxa"/>
            <w:tcBorders>
              <w:top w:val="nil"/>
              <w:bottom w:val="nil"/>
            </w:tcBorders>
            <w:noWrap/>
            <w:hideMark/>
          </w:tcPr>
          <w:p w14:paraId="53EA1DEC"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578ACC69"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nil"/>
            </w:tcBorders>
            <w:noWrap/>
            <w:hideMark/>
          </w:tcPr>
          <w:p w14:paraId="02D0C4A5" w14:textId="74C9307B"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r w:rsidR="004C4BC8" w:rsidRPr="0099292E" w14:paraId="76703E90"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18985683"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Jurnal Organisasi dan Manajemen</w:t>
            </w:r>
          </w:p>
        </w:tc>
        <w:tc>
          <w:tcPr>
            <w:tcW w:w="1592" w:type="dxa"/>
            <w:tcBorders>
              <w:top w:val="nil"/>
              <w:bottom w:val="nil"/>
            </w:tcBorders>
            <w:noWrap/>
            <w:hideMark/>
          </w:tcPr>
          <w:p w14:paraId="273BAF04"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37B5F49C"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nil"/>
            </w:tcBorders>
            <w:noWrap/>
            <w:hideMark/>
          </w:tcPr>
          <w:p w14:paraId="5A75DB70" w14:textId="29ADC3B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r w:rsidR="004C4BC8" w:rsidRPr="0099292E" w14:paraId="0DDC6CB6"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nil"/>
            </w:tcBorders>
            <w:noWrap/>
            <w:hideMark/>
          </w:tcPr>
          <w:p w14:paraId="4B1D0336"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Media Riset Akuntansi, Auditing &amp; Informasi</w:t>
            </w:r>
          </w:p>
        </w:tc>
        <w:tc>
          <w:tcPr>
            <w:tcW w:w="1592" w:type="dxa"/>
            <w:tcBorders>
              <w:top w:val="nil"/>
              <w:bottom w:val="nil"/>
            </w:tcBorders>
            <w:noWrap/>
            <w:hideMark/>
          </w:tcPr>
          <w:p w14:paraId="331113D9"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nil"/>
            </w:tcBorders>
            <w:noWrap/>
            <w:hideMark/>
          </w:tcPr>
          <w:p w14:paraId="31332E85" w14:textId="77777777" w:rsidR="004C4BC8" w:rsidRPr="0099292E" w:rsidRDefault="004C4BC8" w:rsidP="007568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nil"/>
            </w:tcBorders>
            <w:noWrap/>
            <w:hideMark/>
          </w:tcPr>
          <w:p w14:paraId="138C711F" w14:textId="6F112C29"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r w:rsidR="004C4BC8" w:rsidRPr="0099292E" w14:paraId="7DB93F46"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4612" w:type="dxa"/>
            <w:tcBorders>
              <w:top w:val="nil"/>
              <w:bottom w:val="single" w:sz="4" w:space="0" w:color="7F7F7F" w:themeColor="text1" w:themeTint="80"/>
            </w:tcBorders>
            <w:noWrap/>
            <w:hideMark/>
          </w:tcPr>
          <w:p w14:paraId="5C43294E" w14:textId="77777777" w:rsidR="004C4BC8" w:rsidRPr="0099292E" w:rsidRDefault="004C4BC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AKRUAL (Jurnal Akuntansi)</w:t>
            </w:r>
          </w:p>
        </w:tc>
        <w:tc>
          <w:tcPr>
            <w:tcW w:w="1592" w:type="dxa"/>
            <w:tcBorders>
              <w:top w:val="nil"/>
              <w:bottom w:val="single" w:sz="4" w:space="0" w:color="7F7F7F" w:themeColor="text1" w:themeTint="80"/>
            </w:tcBorders>
            <w:noWrap/>
            <w:hideMark/>
          </w:tcPr>
          <w:p w14:paraId="17946F1A"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Sinta 2</w:t>
            </w:r>
          </w:p>
        </w:tc>
        <w:tc>
          <w:tcPr>
            <w:tcW w:w="1431" w:type="dxa"/>
            <w:tcBorders>
              <w:top w:val="nil"/>
              <w:bottom w:val="single" w:sz="4" w:space="0" w:color="7F7F7F" w:themeColor="text1" w:themeTint="80"/>
            </w:tcBorders>
            <w:noWrap/>
            <w:hideMark/>
          </w:tcPr>
          <w:p w14:paraId="34770326" w14:textId="77777777" w:rsidR="004C4BC8" w:rsidRPr="0099292E" w:rsidRDefault="004C4BC8" w:rsidP="0075688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262" w:type="dxa"/>
            <w:tcBorders>
              <w:top w:val="nil"/>
              <w:bottom w:val="single" w:sz="4" w:space="0" w:color="7F7F7F" w:themeColor="text1" w:themeTint="80"/>
            </w:tcBorders>
            <w:noWrap/>
            <w:hideMark/>
          </w:tcPr>
          <w:p w14:paraId="54C0A650" w14:textId="7E49B019"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52%</w:t>
            </w:r>
          </w:p>
        </w:tc>
      </w:tr>
    </w:tbl>
    <w:p w14:paraId="3A9338AF" w14:textId="49E6E298" w:rsidR="004C4BC8" w:rsidRPr="0099292E" w:rsidRDefault="004C4BC8" w:rsidP="0075688F">
      <w:pPr>
        <w:spacing w:after="0"/>
        <w:contextualSpacing/>
        <w:jc w:val="both"/>
        <w:rPr>
          <w:rFonts w:ascii="Times New Roman" w:eastAsia="Times New Roman" w:hAnsi="Times New Roman" w:cs="Times New Roman"/>
          <w:sz w:val="24"/>
          <w:szCs w:val="24"/>
        </w:rPr>
      </w:pPr>
    </w:p>
    <w:p w14:paraId="3FD766FD" w14:textId="4A6025C5" w:rsidR="00F270F6" w:rsidRPr="0099292E" w:rsidRDefault="00F270F6" w:rsidP="00F270F6">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From Table </w:t>
      </w:r>
      <w:r w:rsidR="001F50EF" w:rsidRPr="0099292E">
        <w:rPr>
          <w:rFonts w:ascii="Times New Roman" w:eastAsia="Times New Roman" w:hAnsi="Times New Roman" w:cs="Times New Roman"/>
          <w:sz w:val="24"/>
          <w:szCs w:val="24"/>
        </w:rPr>
        <w:t>3</w:t>
      </w:r>
      <w:r w:rsidRPr="0099292E">
        <w:rPr>
          <w:rFonts w:ascii="Times New Roman" w:eastAsia="Times New Roman" w:hAnsi="Times New Roman" w:cs="Times New Roman"/>
          <w:sz w:val="24"/>
          <w:szCs w:val="24"/>
        </w:rPr>
        <w:t xml:space="preserve">, it can be seen that "Jurnal Reviu Akuntansi dan Keuangan" and "Riset Akuntansi dan Keuangan Indonesia" are the main contributors with 7 articles each </w:t>
      </w:r>
      <w:r w:rsidRPr="0099292E">
        <w:rPr>
          <w:rFonts w:ascii="Times New Roman" w:eastAsia="Times New Roman" w:hAnsi="Times New Roman" w:cs="Times New Roman"/>
          <w:sz w:val="24"/>
          <w:szCs w:val="24"/>
        </w:rPr>
        <w:lastRenderedPageBreak/>
        <w:t>(10.61%). This proportion indicates the consistent focus of both journals on contemporary accounting and finance issues, including sustainability and taxation aspects. The dominance of publications in Sinta 2 journals also reflects the rapidly growing interest and research capacity among Indonesian academics in ESG and tax avoidance topics.</w:t>
      </w:r>
    </w:p>
    <w:p w14:paraId="196A1634" w14:textId="34E9A256" w:rsidR="001F2103" w:rsidRPr="0099292E" w:rsidRDefault="00F270F6" w:rsidP="00F270F6">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In addition to the distribution per journal, the trend of article publication from year to year also shows noteworthy developments. Figure 1 illustrates the number of articles published </w:t>
      </w:r>
      <w:r w:rsidR="009A08C3">
        <w:rPr>
          <w:rFonts w:ascii="Times New Roman" w:eastAsia="Times New Roman" w:hAnsi="Times New Roman" w:cs="Times New Roman"/>
          <w:sz w:val="24"/>
          <w:szCs w:val="24"/>
        </w:rPr>
        <w:t>annually</w:t>
      </w:r>
      <w:r w:rsidRPr="0099292E">
        <w:rPr>
          <w:rFonts w:ascii="Times New Roman" w:eastAsia="Times New Roman" w:hAnsi="Times New Roman" w:cs="Times New Roman"/>
          <w:sz w:val="24"/>
          <w:szCs w:val="24"/>
        </w:rPr>
        <w:t xml:space="preserve"> from 2015 to 2025.</w:t>
      </w:r>
    </w:p>
    <w:p w14:paraId="28074EF2" w14:textId="77777777" w:rsidR="00F270F6" w:rsidRPr="0099292E" w:rsidRDefault="00F270F6" w:rsidP="00F270F6">
      <w:pPr>
        <w:spacing w:after="0"/>
        <w:ind w:firstLine="426"/>
        <w:contextualSpacing/>
        <w:jc w:val="both"/>
        <w:rPr>
          <w:rFonts w:ascii="Times New Roman" w:eastAsia="Times New Roman" w:hAnsi="Times New Roman" w:cs="Times New Roman"/>
          <w:sz w:val="24"/>
          <w:szCs w:val="24"/>
        </w:rPr>
      </w:pPr>
    </w:p>
    <w:p w14:paraId="0BA2AA36" w14:textId="77814A28" w:rsidR="00272F23" w:rsidRPr="0099292E" w:rsidRDefault="00314278" w:rsidP="00542793">
      <w:pPr>
        <w:keepNext/>
        <w:spacing w:after="0"/>
        <w:contextualSpacing/>
        <w:jc w:val="center"/>
      </w:pPr>
      <w:r w:rsidRPr="0099292E">
        <w:rPr>
          <w:noProof/>
        </w:rPr>
        <w:drawing>
          <wp:inline distT="0" distB="0" distL="0" distR="0" wp14:anchorId="0A612050" wp14:editId="6FC18CEE">
            <wp:extent cx="4287520" cy="2450334"/>
            <wp:effectExtent l="0" t="0" r="0" b="7620"/>
            <wp:docPr id="15669426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3263" cy="2453616"/>
                    </a:xfrm>
                    <a:prstGeom prst="rect">
                      <a:avLst/>
                    </a:prstGeom>
                    <a:noFill/>
                  </pic:spPr>
                </pic:pic>
              </a:graphicData>
            </a:graphic>
          </wp:inline>
        </w:drawing>
      </w:r>
    </w:p>
    <w:p w14:paraId="288EA04D" w14:textId="1C0ACA93" w:rsidR="00542793" w:rsidRPr="0099292E" w:rsidRDefault="008A7602" w:rsidP="00542793">
      <w:pPr>
        <w:pStyle w:val="Caption"/>
        <w:spacing w:after="0" w:line="276" w:lineRule="auto"/>
        <w:contextualSpacing/>
        <w:jc w:val="center"/>
        <w:rPr>
          <w:rFonts w:ascii="Times New Roman" w:hAnsi="Times New Roman" w:cs="Times New Roman"/>
          <w:b/>
          <w:bCs/>
          <w:i w:val="0"/>
          <w:iCs w:val="0"/>
          <w:color w:val="000000" w:themeColor="text1"/>
          <w:sz w:val="22"/>
          <w:szCs w:val="22"/>
        </w:rPr>
      </w:pPr>
      <w:r w:rsidRPr="0099292E">
        <w:rPr>
          <w:rFonts w:ascii="Times New Roman" w:hAnsi="Times New Roman" w:cs="Times New Roman"/>
          <w:b/>
          <w:bCs/>
          <w:i w:val="0"/>
          <w:iCs w:val="0"/>
          <w:color w:val="000000" w:themeColor="text1"/>
          <w:sz w:val="22"/>
          <w:szCs w:val="22"/>
        </w:rPr>
        <w:t>Figure</w:t>
      </w:r>
      <w:r w:rsidR="00272F23" w:rsidRPr="0099292E">
        <w:rPr>
          <w:rFonts w:ascii="Times New Roman" w:hAnsi="Times New Roman" w:cs="Times New Roman"/>
          <w:b/>
          <w:bCs/>
          <w:i w:val="0"/>
          <w:iCs w:val="0"/>
          <w:color w:val="000000" w:themeColor="text1"/>
          <w:sz w:val="22"/>
          <w:szCs w:val="22"/>
        </w:rPr>
        <w:t xml:space="preserve"> </w:t>
      </w:r>
      <w:r w:rsidR="00272F23" w:rsidRPr="0099292E">
        <w:rPr>
          <w:rFonts w:ascii="Times New Roman" w:hAnsi="Times New Roman" w:cs="Times New Roman"/>
          <w:b/>
          <w:bCs/>
          <w:i w:val="0"/>
          <w:iCs w:val="0"/>
          <w:color w:val="000000" w:themeColor="text1"/>
          <w:sz w:val="22"/>
          <w:szCs w:val="22"/>
        </w:rPr>
        <w:fldChar w:fldCharType="begin"/>
      </w:r>
      <w:r w:rsidR="00272F23" w:rsidRPr="0099292E">
        <w:rPr>
          <w:rFonts w:ascii="Times New Roman" w:hAnsi="Times New Roman" w:cs="Times New Roman"/>
          <w:b/>
          <w:bCs/>
          <w:i w:val="0"/>
          <w:iCs w:val="0"/>
          <w:color w:val="000000" w:themeColor="text1"/>
          <w:sz w:val="22"/>
          <w:szCs w:val="22"/>
        </w:rPr>
        <w:instrText xml:space="preserve"> SEQ Figure \* ARABIC </w:instrText>
      </w:r>
      <w:r w:rsidR="00272F23" w:rsidRPr="0099292E">
        <w:rPr>
          <w:rFonts w:ascii="Times New Roman" w:hAnsi="Times New Roman" w:cs="Times New Roman"/>
          <w:b/>
          <w:bCs/>
          <w:i w:val="0"/>
          <w:iCs w:val="0"/>
          <w:color w:val="000000" w:themeColor="text1"/>
          <w:sz w:val="22"/>
          <w:szCs w:val="22"/>
        </w:rPr>
        <w:fldChar w:fldCharType="separate"/>
      </w:r>
      <w:r w:rsidR="00140DA1">
        <w:rPr>
          <w:rFonts w:ascii="Times New Roman" w:hAnsi="Times New Roman" w:cs="Times New Roman"/>
          <w:b/>
          <w:bCs/>
          <w:i w:val="0"/>
          <w:iCs w:val="0"/>
          <w:noProof/>
          <w:color w:val="000000" w:themeColor="text1"/>
          <w:sz w:val="22"/>
          <w:szCs w:val="22"/>
        </w:rPr>
        <w:t>1</w:t>
      </w:r>
      <w:r w:rsidR="00272F23" w:rsidRPr="0099292E">
        <w:rPr>
          <w:rFonts w:ascii="Times New Roman" w:hAnsi="Times New Roman" w:cs="Times New Roman"/>
          <w:b/>
          <w:bCs/>
          <w:i w:val="0"/>
          <w:iCs w:val="0"/>
          <w:color w:val="000000" w:themeColor="text1"/>
          <w:sz w:val="22"/>
          <w:szCs w:val="22"/>
        </w:rPr>
        <w:fldChar w:fldCharType="end"/>
      </w:r>
      <w:r w:rsidR="00354C06" w:rsidRPr="0099292E">
        <w:rPr>
          <w:rFonts w:ascii="Times New Roman" w:hAnsi="Times New Roman" w:cs="Times New Roman"/>
          <w:b/>
          <w:bCs/>
          <w:i w:val="0"/>
          <w:iCs w:val="0"/>
          <w:color w:val="000000" w:themeColor="text1"/>
          <w:sz w:val="22"/>
          <w:szCs w:val="22"/>
        </w:rPr>
        <w:t>.</w:t>
      </w:r>
      <w:r w:rsidR="00272F23" w:rsidRPr="0099292E">
        <w:rPr>
          <w:rFonts w:ascii="Times New Roman" w:hAnsi="Times New Roman" w:cs="Times New Roman"/>
          <w:b/>
          <w:bCs/>
          <w:i w:val="0"/>
          <w:iCs w:val="0"/>
          <w:color w:val="000000" w:themeColor="text1"/>
          <w:sz w:val="22"/>
          <w:szCs w:val="22"/>
        </w:rPr>
        <w:t xml:space="preserve"> </w:t>
      </w:r>
      <w:r w:rsidRPr="0099292E">
        <w:rPr>
          <w:rFonts w:ascii="Times New Roman" w:hAnsi="Times New Roman" w:cs="Times New Roman"/>
          <w:b/>
          <w:bCs/>
          <w:i w:val="0"/>
          <w:iCs w:val="0"/>
          <w:color w:val="000000" w:themeColor="text1"/>
          <w:sz w:val="22"/>
          <w:szCs w:val="22"/>
        </w:rPr>
        <w:t>Number of Articles Published Each Year</w:t>
      </w:r>
    </w:p>
    <w:p w14:paraId="57B47032" w14:textId="77777777" w:rsidR="00542793" w:rsidRPr="0099292E" w:rsidRDefault="00542793" w:rsidP="00542793">
      <w:pPr>
        <w:spacing w:after="0"/>
        <w:contextualSpacing/>
      </w:pPr>
    </w:p>
    <w:p w14:paraId="32DC71EC" w14:textId="10EA38B6" w:rsidR="008A7602" w:rsidRPr="002C008D" w:rsidRDefault="008A7602" w:rsidP="002C008D">
      <w:pPr>
        <w:spacing w:after="0"/>
        <w:ind w:firstLine="426"/>
        <w:contextualSpacing/>
        <w:jc w:val="both"/>
        <w:rPr>
          <w:rFonts w:ascii="Times New Roman" w:eastAsia="Times New Roman" w:hAnsi="Times New Roman" w:cs="Times New Roman"/>
          <w:sz w:val="24"/>
          <w:szCs w:val="24"/>
          <w:lang w:val="id-ID"/>
        </w:rPr>
      </w:pPr>
      <w:r w:rsidRPr="0099292E">
        <w:rPr>
          <w:rFonts w:ascii="Times New Roman" w:eastAsia="Times New Roman" w:hAnsi="Times New Roman" w:cs="Times New Roman"/>
          <w:sz w:val="24"/>
          <w:szCs w:val="24"/>
        </w:rPr>
        <w:t xml:space="preserve">Figure 1 clearly shows a significant acceleration in the publication of articles on ESG and tax avoidance pillars from 2021 to 2023. The peak of publications occurred in 2021 with 15 articles, followed by 14 articles in 2022 and 2023. </w:t>
      </w:r>
      <w:r w:rsidR="00710CF4" w:rsidRPr="0099292E">
        <w:rPr>
          <w:rFonts w:ascii="Times New Roman" w:eastAsia="Times New Roman" w:hAnsi="Times New Roman" w:cs="Times New Roman"/>
          <w:sz w:val="24"/>
          <w:szCs w:val="24"/>
        </w:rPr>
        <w:t>This upward trend reflects not mere fluctuation but the growing urgency of sustainability issues</w:t>
      </w:r>
      <w:r w:rsidRPr="0099292E">
        <w:rPr>
          <w:rFonts w:ascii="Times New Roman" w:eastAsia="Times New Roman" w:hAnsi="Times New Roman" w:cs="Times New Roman"/>
          <w:sz w:val="24"/>
          <w:szCs w:val="24"/>
        </w:rPr>
        <w:t xml:space="preserve"> that are often assessed with ESG pillars in the global business agenda and regulations in Indonesia. As awareness of the impact of ESG on non-financial performance and reputation increases, researchers are increasingly encouraged to examine its interaction with aggressive taxation strategies. The 2015-2020 period, which shows a more limited number of publications, can be interpreted as an initial phase where ESG issues have not been fully integrated as a key research variable in the context of tax avoidance.</w:t>
      </w:r>
    </w:p>
    <w:p w14:paraId="0B6DF46B" w14:textId="633F5097" w:rsidR="001F2103" w:rsidRPr="002C008D" w:rsidRDefault="008A7602" w:rsidP="00542793">
      <w:pPr>
        <w:spacing w:after="0"/>
        <w:contextualSpacing/>
        <w:jc w:val="both"/>
        <w:rPr>
          <w:rFonts w:ascii="Times New Roman" w:eastAsia="Times New Roman" w:hAnsi="Times New Roman" w:cs="Times New Roman"/>
          <w:b/>
          <w:bCs/>
          <w:i/>
          <w:sz w:val="24"/>
          <w:szCs w:val="24"/>
        </w:rPr>
      </w:pPr>
      <w:r w:rsidRPr="002C008D">
        <w:rPr>
          <w:rFonts w:ascii="Times New Roman" w:eastAsia="Times New Roman" w:hAnsi="Times New Roman" w:cs="Times New Roman"/>
          <w:b/>
          <w:bCs/>
          <w:i/>
          <w:sz w:val="24"/>
          <w:szCs w:val="24"/>
        </w:rPr>
        <w:t>Classification by Business Sector Type</w:t>
      </w:r>
    </w:p>
    <w:p w14:paraId="1615E55C" w14:textId="6205C7FF" w:rsidR="001F2103" w:rsidRDefault="008A7602" w:rsidP="00EF42DC">
      <w:pPr>
        <w:spacing w:after="0"/>
        <w:ind w:firstLine="426"/>
        <w:contextualSpacing/>
        <w:jc w:val="both"/>
        <w:rPr>
          <w:rFonts w:ascii="Times New Roman" w:eastAsia="Times New Roman" w:hAnsi="Times New Roman" w:cs="Times New Roman"/>
          <w:sz w:val="24"/>
          <w:szCs w:val="24"/>
          <w:lang w:val="id-ID"/>
        </w:rPr>
      </w:pPr>
      <w:r w:rsidRPr="0099292E">
        <w:rPr>
          <w:rFonts w:ascii="Times New Roman" w:eastAsia="Times New Roman" w:hAnsi="Times New Roman" w:cs="Times New Roman"/>
          <w:sz w:val="24"/>
          <w:szCs w:val="24"/>
        </w:rPr>
        <w:t xml:space="preserve">The industry sectors of the companies studied have unique characteristics that may affect the incentives and opportunities for tax avoidance practices. Table </w:t>
      </w:r>
      <w:r w:rsidR="001F50EF" w:rsidRPr="0099292E">
        <w:rPr>
          <w:rFonts w:ascii="Times New Roman" w:eastAsia="Times New Roman" w:hAnsi="Times New Roman" w:cs="Times New Roman"/>
          <w:sz w:val="24"/>
          <w:szCs w:val="24"/>
        </w:rPr>
        <w:t>4</w:t>
      </w:r>
      <w:r w:rsidRPr="0099292E">
        <w:rPr>
          <w:rFonts w:ascii="Times New Roman" w:eastAsia="Times New Roman" w:hAnsi="Times New Roman" w:cs="Times New Roman"/>
          <w:sz w:val="24"/>
          <w:szCs w:val="24"/>
        </w:rPr>
        <w:t xml:space="preserve"> shows the distribution of articles based on the type of business sector sampled</w:t>
      </w:r>
      <w:r w:rsidR="001F2103" w:rsidRPr="0099292E">
        <w:rPr>
          <w:rFonts w:ascii="Times New Roman" w:eastAsia="Times New Roman" w:hAnsi="Times New Roman" w:cs="Times New Roman"/>
          <w:sz w:val="24"/>
          <w:szCs w:val="24"/>
        </w:rPr>
        <w:t>.</w:t>
      </w:r>
    </w:p>
    <w:p w14:paraId="248A7A1F" w14:textId="77777777" w:rsidR="00497A9E" w:rsidRPr="0075688F" w:rsidRDefault="00497A9E" w:rsidP="00EF42DC">
      <w:pPr>
        <w:spacing w:after="0"/>
        <w:ind w:firstLine="426"/>
        <w:contextualSpacing/>
        <w:jc w:val="both"/>
        <w:rPr>
          <w:rFonts w:ascii="Times New Roman" w:eastAsia="Times New Roman" w:hAnsi="Times New Roman" w:cs="Times New Roman"/>
          <w:sz w:val="24"/>
          <w:szCs w:val="24"/>
          <w:lang w:val="id-ID"/>
        </w:rPr>
      </w:pPr>
    </w:p>
    <w:p w14:paraId="724D33E4" w14:textId="4C7CF738" w:rsidR="00272F23" w:rsidRPr="0075688F" w:rsidRDefault="00272F23" w:rsidP="0075688F">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75688F">
        <w:rPr>
          <w:rFonts w:ascii="Times New Roman" w:hAnsi="Times New Roman" w:cs="Times New Roman"/>
          <w:b/>
          <w:bCs/>
          <w:i w:val="0"/>
          <w:iCs w:val="0"/>
          <w:color w:val="000000" w:themeColor="text1"/>
          <w:sz w:val="24"/>
          <w:szCs w:val="24"/>
        </w:rPr>
        <w:t>Tab</w:t>
      </w:r>
      <w:r w:rsidR="008A7602" w:rsidRPr="0075688F">
        <w:rPr>
          <w:rFonts w:ascii="Times New Roman" w:hAnsi="Times New Roman" w:cs="Times New Roman"/>
          <w:b/>
          <w:bCs/>
          <w:i w:val="0"/>
          <w:iCs w:val="0"/>
          <w:color w:val="000000" w:themeColor="text1"/>
          <w:sz w:val="24"/>
          <w:szCs w:val="24"/>
        </w:rPr>
        <w:t>le</w:t>
      </w:r>
      <w:r w:rsidRPr="0075688F">
        <w:rPr>
          <w:rFonts w:ascii="Times New Roman" w:hAnsi="Times New Roman" w:cs="Times New Roman"/>
          <w:b/>
          <w:bCs/>
          <w:i w:val="0"/>
          <w:iCs w:val="0"/>
          <w:color w:val="000000" w:themeColor="text1"/>
          <w:sz w:val="24"/>
          <w:szCs w:val="24"/>
        </w:rPr>
        <w:t xml:space="preserve"> </w:t>
      </w:r>
      <w:r w:rsidR="001F50EF" w:rsidRPr="0075688F">
        <w:rPr>
          <w:rFonts w:ascii="Times New Roman" w:hAnsi="Times New Roman" w:cs="Times New Roman"/>
          <w:b/>
          <w:bCs/>
          <w:i w:val="0"/>
          <w:iCs w:val="0"/>
          <w:color w:val="000000" w:themeColor="text1"/>
          <w:sz w:val="24"/>
          <w:szCs w:val="24"/>
        </w:rPr>
        <w:t>4</w:t>
      </w:r>
      <w:r w:rsidRPr="0075688F">
        <w:rPr>
          <w:rFonts w:ascii="Times New Roman" w:hAnsi="Times New Roman" w:cs="Times New Roman"/>
          <w:b/>
          <w:bCs/>
          <w:i w:val="0"/>
          <w:iCs w:val="0"/>
          <w:color w:val="000000" w:themeColor="text1"/>
          <w:sz w:val="24"/>
          <w:szCs w:val="24"/>
        </w:rPr>
        <w:t xml:space="preserve">. </w:t>
      </w:r>
      <w:r w:rsidR="008A7602" w:rsidRPr="0075688F">
        <w:rPr>
          <w:rFonts w:ascii="Times New Roman" w:hAnsi="Times New Roman" w:cs="Times New Roman"/>
          <w:b/>
          <w:bCs/>
          <w:i w:val="0"/>
          <w:iCs w:val="0"/>
          <w:color w:val="000000" w:themeColor="text1"/>
          <w:sz w:val="24"/>
          <w:szCs w:val="24"/>
        </w:rPr>
        <w:t>Number of Articles Based on Company Sectors Studied</w:t>
      </w:r>
    </w:p>
    <w:tbl>
      <w:tblPr>
        <w:tblStyle w:val="PlainTable21"/>
        <w:tblW w:w="8998" w:type="dxa"/>
        <w:tblLook w:val="04A0" w:firstRow="1" w:lastRow="0" w:firstColumn="1" w:lastColumn="0" w:noHBand="0" w:noVBand="1"/>
      </w:tblPr>
      <w:tblGrid>
        <w:gridCol w:w="5920"/>
        <w:gridCol w:w="1276"/>
        <w:gridCol w:w="1802"/>
      </w:tblGrid>
      <w:tr w:rsidR="00314278" w:rsidRPr="0099292E" w14:paraId="09EBF5E4" w14:textId="77777777" w:rsidTr="00357B5D">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5920" w:type="dxa"/>
            <w:vAlign w:val="center"/>
            <w:hideMark/>
          </w:tcPr>
          <w:p w14:paraId="36083A96" w14:textId="6B81E7F8" w:rsidR="004C4BC8" w:rsidRPr="0075688F" w:rsidRDefault="004C4BC8" w:rsidP="00357B5D">
            <w:pPr>
              <w:spacing w:line="276" w:lineRule="auto"/>
              <w:rPr>
                <w:rFonts w:ascii="Times New Roman" w:eastAsia="Times New Roman" w:hAnsi="Times New Roman" w:cs="Times New Roman"/>
                <w:color w:val="000000"/>
                <w:sz w:val="24"/>
                <w:szCs w:val="24"/>
              </w:rPr>
            </w:pPr>
            <w:r w:rsidRPr="0075688F">
              <w:rPr>
                <w:rFonts w:ascii="Times New Roman" w:eastAsia="Times New Roman" w:hAnsi="Times New Roman" w:cs="Times New Roman"/>
                <w:color w:val="000000"/>
                <w:sz w:val="24"/>
                <w:szCs w:val="24"/>
              </w:rPr>
              <w:t>Se</w:t>
            </w:r>
            <w:r w:rsidR="008A7602" w:rsidRPr="0075688F">
              <w:rPr>
                <w:rFonts w:ascii="Times New Roman" w:eastAsia="Times New Roman" w:hAnsi="Times New Roman" w:cs="Times New Roman"/>
                <w:color w:val="000000"/>
                <w:sz w:val="24"/>
                <w:szCs w:val="24"/>
              </w:rPr>
              <w:t>c</w:t>
            </w:r>
            <w:r w:rsidRPr="0075688F">
              <w:rPr>
                <w:rFonts w:ascii="Times New Roman" w:eastAsia="Times New Roman" w:hAnsi="Times New Roman" w:cs="Times New Roman"/>
                <w:color w:val="000000"/>
                <w:sz w:val="24"/>
                <w:szCs w:val="24"/>
              </w:rPr>
              <w:t>tor</w:t>
            </w:r>
          </w:p>
        </w:tc>
        <w:tc>
          <w:tcPr>
            <w:tcW w:w="1276" w:type="dxa"/>
            <w:noWrap/>
            <w:vAlign w:val="center"/>
            <w:hideMark/>
          </w:tcPr>
          <w:p w14:paraId="74BC66EE" w14:textId="398FB584" w:rsidR="004C4BC8" w:rsidRPr="0075688F" w:rsidRDefault="008A7602" w:rsidP="00357B5D">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688F">
              <w:rPr>
                <w:rFonts w:ascii="Times New Roman" w:eastAsia="Times New Roman" w:hAnsi="Times New Roman" w:cs="Times New Roman"/>
                <w:color w:val="000000"/>
                <w:sz w:val="24"/>
                <w:szCs w:val="24"/>
              </w:rPr>
              <w:t>Number of Articles</w:t>
            </w:r>
          </w:p>
        </w:tc>
        <w:tc>
          <w:tcPr>
            <w:tcW w:w="1802" w:type="dxa"/>
            <w:noWrap/>
            <w:vAlign w:val="center"/>
            <w:hideMark/>
          </w:tcPr>
          <w:p w14:paraId="7AC59B83" w14:textId="139A5E1E" w:rsidR="004C4BC8" w:rsidRPr="0075688F" w:rsidRDefault="008A7602" w:rsidP="00357B5D">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688F">
              <w:rPr>
                <w:rFonts w:ascii="Times New Roman" w:eastAsia="Times New Roman" w:hAnsi="Times New Roman" w:cs="Times New Roman"/>
                <w:color w:val="000000"/>
                <w:sz w:val="24"/>
                <w:szCs w:val="24"/>
              </w:rPr>
              <w:t>Percentage</w:t>
            </w:r>
          </w:p>
        </w:tc>
      </w:tr>
      <w:tr w:rsidR="00314278" w:rsidRPr="0099292E" w14:paraId="74BB16B8"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bottom w:val="nil"/>
            </w:tcBorders>
            <w:hideMark/>
          </w:tcPr>
          <w:p w14:paraId="3C44E4B3" w14:textId="694F10B2"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Manufacturing</w:t>
            </w:r>
          </w:p>
        </w:tc>
        <w:tc>
          <w:tcPr>
            <w:tcW w:w="1276" w:type="dxa"/>
            <w:tcBorders>
              <w:bottom w:val="nil"/>
            </w:tcBorders>
            <w:noWrap/>
            <w:hideMark/>
          </w:tcPr>
          <w:p w14:paraId="3A067BB2"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30</w:t>
            </w:r>
          </w:p>
        </w:tc>
        <w:tc>
          <w:tcPr>
            <w:tcW w:w="1802" w:type="dxa"/>
            <w:tcBorders>
              <w:bottom w:val="nil"/>
            </w:tcBorders>
            <w:noWrap/>
            <w:hideMark/>
          </w:tcPr>
          <w:p w14:paraId="25C43F3F" w14:textId="79A6000C"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48%</w:t>
            </w:r>
          </w:p>
        </w:tc>
      </w:tr>
      <w:tr w:rsidR="00314278" w:rsidRPr="0099292E" w14:paraId="3C2E9D29"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486391F2" w14:textId="45F0AB60"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All Listed Companies</w:t>
            </w:r>
          </w:p>
        </w:tc>
        <w:tc>
          <w:tcPr>
            <w:tcW w:w="1276" w:type="dxa"/>
            <w:tcBorders>
              <w:top w:val="nil"/>
              <w:bottom w:val="nil"/>
            </w:tcBorders>
            <w:noWrap/>
            <w:hideMark/>
          </w:tcPr>
          <w:p w14:paraId="2EE2C98E"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11</w:t>
            </w:r>
          </w:p>
        </w:tc>
        <w:tc>
          <w:tcPr>
            <w:tcW w:w="1802" w:type="dxa"/>
            <w:tcBorders>
              <w:top w:val="nil"/>
              <w:bottom w:val="nil"/>
            </w:tcBorders>
            <w:noWrap/>
            <w:hideMark/>
          </w:tcPr>
          <w:p w14:paraId="4D5B21DB" w14:textId="2F520DD4"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15</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94%</w:t>
            </w:r>
          </w:p>
        </w:tc>
      </w:tr>
      <w:tr w:rsidR="00314278" w:rsidRPr="0099292E" w14:paraId="75AEA29E"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634FF620" w14:textId="3E44490B"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Mining</w:t>
            </w:r>
          </w:p>
        </w:tc>
        <w:tc>
          <w:tcPr>
            <w:tcW w:w="1276" w:type="dxa"/>
            <w:tcBorders>
              <w:top w:val="nil"/>
              <w:bottom w:val="nil"/>
            </w:tcBorders>
            <w:noWrap/>
            <w:hideMark/>
          </w:tcPr>
          <w:p w14:paraId="0DA2075D"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802" w:type="dxa"/>
            <w:tcBorders>
              <w:top w:val="nil"/>
              <w:bottom w:val="nil"/>
            </w:tcBorders>
            <w:noWrap/>
            <w:hideMark/>
          </w:tcPr>
          <w:p w14:paraId="1C01372E" w14:textId="0472658D"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25%</w:t>
            </w:r>
          </w:p>
        </w:tc>
      </w:tr>
      <w:tr w:rsidR="00314278" w:rsidRPr="0099292E" w14:paraId="448016E6"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47A18F78" w14:textId="7ACD9F14"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Non-Financial</w:t>
            </w:r>
          </w:p>
        </w:tc>
        <w:tc>
          <w:tcPr>
            <w:tcW w:w="1276" w:type="dxa"/>
            <w:tcBorders>
              <w:top w:val="nil"/>
              <w:bottom w:val="nil"/>
            </w:tcBorders>
            <w:noWrap/>
            <w:hideMark/>
          </w:tcPr>
          <w:p w14:paraId="1C09C30A"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p>
        </w:tc>
        <w:tc>
          <w:tcPr>
            <w:tcW w:w="1802" w:type="dxa"/>
            <w:tcBorders>
              <w:top w:val="nil"/>
              <w:bottom w:val="nil"/>
            </w:tcBorders>
            <w:noWrap/>
            <w:hideMark/>
          </w:tcPr>
          <w:p w14:paraId="3D8C254F" w14:textId="47468CFA"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80%</w:t>
            </w:r>
          </w:p>
        </w:tc>
      </w:tr>
      <w:tr w:rsidR="00314278" w:rsidRPr="0099292E" w14:paraId="5376CB6D"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00FB4F2C" w14:textId="13008568"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lastRenderedPageBreak/>
              <w:t>Property, Real Estate</w:t>
            </w:r>
            <w:r w:rsidR="00CF2ACB">
              <w:rPr>
                <w:rFonts w:ascii="Times New Roman" w:eastAsia="Times New Roman" w:hAnsi="Times New Roman" w:cs="Times New Roman"/>
                <w:b w:val="0"/>
                <w:bCs w:val="0"/>
                <w:color w:val="000000"/>
              </w:rPr>
              <w:t>,</w:t>
            </w:r>
            <w:r w:rsidRPr="0099292E">
              <w:rPr>
                <w:rFonts w:ascii="Times New Roman" w:eastAsia="Times New Roman" w:hAnsi="Times New Roman" w:cs="Times New Roman"/>
                <w:b w:val="0"/>
                <w:bCs w:val="0"/>
                <w:color w:val="000000"/>
              </w:rPr>
              <w:t xml:space="preserve"> and Building Construction</w:t>
            </w:r>
          </w:p>
        </w:tc>
        <w:tc>
          <w:tcPr>
            <w:tcW w:w="1276" w:type="dxa"/>
            <w:tcBorders>
              <w:top w:val="nil"/>
              <w:bottom w:val="nil"/>
            </w:tcBorders>
            <w:noWrap/>
            <w:hideMark/>
          </w:tcPr>
          <w:p w14:paraId="441907C0"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p>
        </w:tc>
        <w:tc>
          <w:tcPr>
            <w:tcW w:w="1802" w:type="dxa"/>
            <w:tcBorders>
              <w:top w:val="nil"/>
              <w:bottom w:val="nil"/>
            </w:tcBorders>
            <w:noWrap/>
            <w:hideMark/>
          </w:tcPr>
          <w:p w14:paraId="0F4B3682" w14:textId="75EA4B98"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35%</w:t>
            </w:r>
          </w:p>
        </w:tc>
      </w:tr>
      <w:tr w:rsidR="00314278" w:rsidRPr="0099292E" w14:paraId="707F8C73"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0F670944" w14:textId="0E6AF6EF"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Food and Beverage Manufacturing</w:t>
            </w:r>
          </w:p>
        </w:tc>
        <w:tc>
          <w:tcPr>
            <w:tcW w:w="1276" w:type="dxa"/>
            <w:tcBorders>
              <w:top w:val="nil"/>
              <w:bottom w:val="nil"/>
            </w:tcBorders>
            <w:noWrap/>
            <w:hideMark/>
          </w:tcPr>
          <w:p w14:paraId="7EDB220F"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802" w:type="dxa"/>
            <w:tcBorders>
              <w:top w:val="nil"/>
              <w:bottom w:val="nil"/>
            </w:tcBorders>
            <w:noWrap/>
            <w:hideMark/>
          </w:tcPr>
          <w:p w14:paraId="37B687AB" w14:textId="4AE024A2"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90%</w:t>
            </w:r>
          </w:p>
        </w:tc>
      </w:tr>
      <w:tr w:rsidR="00314278" w:rsidRPr="0099292E" w14:paraId="640FCA36"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683C161B" w14:textId="0A624D18"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Family Companies</w:t>
            </w:r>
          </w:p>
        </w:tc>
        <w:tc>
          <w:tcPr>
            <w:tcW w:w="1276" w:type="dxa"/>
            <w:tcBorders>
              <w:top w:val="nil"/>
              <w:bottom w:val="nil"/>
            </w:tcBorders>
            <w:noWrap/>
            <w:hideMark/>
          </w:tcPr>
          <w:p w14:paraId="6428ED3D"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802" w:type="dxa"/>
            <w:tcBorders>
              <w:top w:val="nil"/>
              <w:bottom w:val="nil"/>
            </w:tcBorders>
            <w:noWrap/>
            <w:hideMark/>
          </w:tcPr>
          <w:p w14:paraId="1122186D" w14:textId="1E4435D3"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90%</w:t>
            </w:r>
          </w:p>
        </w:tc>
      </w:tr>
      <w:tr w:rsidR="00314278" w:rsidRPr="0099292E" w14:paraId="4466373A"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4CCD77CC" w14:textId="3543C90C"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State-owned Enterprises</w:t>
            </w:r>
          </w:p>
        </w:tc>
        <w:tc>
          <w:tcPr>
            <w:tcW w:w="1276" w:type="dxa"/>
            <w:tcBorders>
              <w:top w:val="nil"/>
              <w:bottom w:val="nil"/>
            </w:tcBorders>
            <w:noWrap/>
            <w:hideMark/>
          </w:tcPr>
          <w:p w14:paraId="0179A275"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325A11B6" w14:textId="39BDF6E0"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32DA9EE4"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206195AF" w14:textId="6969F66E"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Consumer Goods Industry</w:t>
            </w:r>
          </w:p>
        </w:tc>
        <w:tc>
          <w:tcPr>
            <w:tcW w:w="1276" w:type="dxa"/>
            <w:tcBorders>
              <w:top w:val="nil"/>
              <w:bottom w:val="nil"/>
            </w:tcBorders>
            <w:noWrap/>
            <w:hideMark/>
          </w:tcPr>
          <w:p w14:paraId="5AB8220E"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64FF57DD" w14:textId="7B05D244"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1A9C60C2"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080E4FFF" w14:textId="4B3F111E"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Companies Included in the Corporate Governance Index on the Indonesia Stock Exchange</w:t>
            </w:r>
          </w:p>
        </w:tc>
        <w:tc>
          <w:tcPr>
            <w:tcW w:w="1276" w:type="dxa"/>
            <w:tcBorders>
              <w:top w:val="nil"/>
              <w:bottom w:val="nil"/>
            </w:tcBorders>
            <w:noWrap/>
            <w:hideMark/>
          </w:tcPr>
          <w:p w14:paraId="281FA1D6"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60904B0F" w14:textId="72F9633D"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4CC2F98D"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7C38B1F0" w14:textId="1D650534"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Health</w:t>
            </w:r>
          </w:p>
        </w:tc>
        <w:tc>
          <w:tcPr>
            <w:tcW w:w="1276" w:type="dxa"/>
            <w:tcBorders>
              <w:top w:val="nil"/>
              <w:bottom w:val="nil"/>
            </w:tcBorders>
            <w:noWrap/>
            <w:hideMark/>
          </w:tcPr>
          <w:p w14:paraId="260F3E9F"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31E22C1C" w14:textId="7A66C77F"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0E64B002"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6EEC65B8" w14:textId="01CF9D9A"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Telecommunications</w:t>
            </w:r>
          </w:p>
        </w:tc>
        <w:tc>
          <w:tcPr>
            <w:tcW w:w="1276" w:type="dxa"/>
            <w:tcBorders>
              <w:top w:val="nil"/>
              <w:bottom w:val="nil"/>
            </w:tcBorders>
            <w:noWrap/>
            <w:hideMark/>
          </w:tcPr>
          <w:p w14:paraId="7E073954"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762F4486" w14:textId="27E3CC76"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15643EE8"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47C102C9" w14:textId="3D26AF8D"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Finance</w:t>
            </w:r>
          </w:p>
        </w:tc>
        <w:tc>
          <w:tcPr>
            <w:tcW w:w="1276" w:type="dxa"/>
            <w:tcBorders>
              <w:top w:val="nil"/>
              <w:bottom w:val="nil"/>
            </w:tcBorders>
            <w:noWrap/>
            <w:hideMark/>
          </w:tcPr>
          <w:p w14:paraId="5294AC7D"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2CAA1E97" w14:textId="2CAAD62F"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6C137299"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41CDF8A9" w14:textId="0E9B0479"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Non-Services</w:t>
            </w:r>
          </w:p>
        </w:tc>
        <w:tc>
          <w:tcPr>
            <w:tcW w:w="1276" w:type="dxa"/>
            <w:tcBorders>
              <w:top w:val="nil"/>
              <w:bottom w:val="nil"/>
            </w:tcBorders>
            <w:noWrap/>
            <w:hideMark/>
          </w:tcPr>
          <w:p w14:paraId="15C955F2"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67F2E3A0" w14:textId="3E6DBEB1"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42415771"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412052FD" w14:textId="6D285DEF"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Non-Financial Multinational</w:t>
            </w:r>
          </w:p>
        </w:tc>
        <w:tc>
          <w:tcPr>
            <w:tcW w:w="1276" w:type="dxa"/>
            <w:tcBorders>
              <w:top w:val="nil"/>
              <w:bottom w:val="nil"/>
            </w:tcBorders>
            <w:noWrap/>
            <w:hideMark/>
          </w:tcPr>
          <w:p w14:paraId="101C940C"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3368458F" w14:textId="1D71D4D8"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7957ECF7"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5FC45162" w14:textId="0BC2B2B5"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Transport</w:t>
            </w:r>
          </w:p>
        </w:tc>
        <w:tc>
          <w:tcPr>
            <w:tcW w:w="1276" w:type="dxa"/>
            <w:tcBorders>
              <w:top w:val="nil"/>
              <w:bottom w:val="nil"/>
            </w:tcBorders>
            <w:noWrap/>
            <w:hideMark/>
          </w:tcPr>
          <w:p w14:paraId="0972F372"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19F223E6" w14:textId="036EE33F"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59BFE31A"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3D2ACBB2" w14:textId="45B1251F"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Crude Palm Oil</w:t>
            </w:r>
          </w:p>
        </w:tc>
        <w:tc>
          <w:tcPr>
            <w:tcW w:w="1276" w:type="dxa"/>
            <w:tcBorders>
              <w:top w:val="nil"/>
              <w:bottom w:val="nil"/>
            </w:tcBorders>
            <w:noWrap/>
            <w:hideMark/>
          </w:tcPr>
          <w:p w14:paraId="2DD55131"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6B98A35C" w14:textId="2A1C19D4"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5A160A37"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bottom w:val="nil"/>
            </w:tcBorders>
            <w:hideMark/>
          </w:tcPr>
          <w:p w14:paraId="31783ED4" w14:textId="59FB8E6A"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Agriculture</w:t>
            </w:r>
          </w:p>
        </w:tc>
        <w:tc>
          <w:tcPr>
            <w:tcW w:w="1276" w:type="dxa"/>
            <w:tcBorders>
              <w:top w:val="nil"/>
              <w:bottom w:val="nil"/>
            </w:tcBorders>
            <w:noWrap/>
            <w:hideMark/>
          </w:tcPr>
          <w:p w14:paraId="6D0F1172" w14:textId="77777777" w:rsidR="004C4BC8" w:rsidRPr="0099292E" w:rsidRDefault="004C4BC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bottom w:val="nil"/>
            </w:tcBorders>
            <w:noWrap/>
            <w:hideMark/>
          </w:tcPr>
          <w:p w14:paraId="761D38B9" w14:textId="0AB2BFE7" w:rsidR="004C4BC8" w:rsidRPr="0099292E" w:rsidRDefault="004C4BC8" w:rsidP="0075688F">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r w:rsidR="00314278" w:rsidRPr="0099292E" w14:paraId="4DF55133"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Borders>
              <w:top w:val="nil"/>
            </w:tcBorders>
            <w:hideMark/>
          </w:tcPr>
          <w:p w14:paraId="1A92C74F" w14:textId="5354725D" w:rsidR="004C4BC8" w:rsidRPr="0099292E" w:rsidRDefault="008A760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Energy</w:t>
            </w:r>
          </w:p>
        </w:tc>
        <w:tc>
          <w:tcPr>
            <w:tcW w:w="1276" w:type="dxa"/>
            <w:tcBorders>
              <w:top w:val="nil"/>
            </w:tcBorders>
            <w:noWrap/>
            <w:hideMark/>
          </w:tcPr>
          <w:p w14:paraId="0BF4E7B0" w14:textId="77777777" w:rsidR="004C4BC8" w:rsidRPr="0099292E" w:rsidRDefault="004C4BC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802" w:type="dxa"/>
            <w:tcBorders>
              <w:top w:val="nil"/>
            </w:tcBorders>
            <w:noWrap/>
            <w:hideMark/>
          </w:tcPr>
          <w:p w14:paraId="4D68F113" w14:textId="62F1D2BA" w:rsidR="004C4BC8" w:rsidRPr="0099292E" w:rsidRDefault="004C4BC8" w:rsidP="0075688F">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45%</w:t>
            </w:r>
          </w:p>
        </w:tc>
      </w:tr>
    </w:tbl>
    <w:p w14:paraId="588ABC56" w14:textId="77777777" w:rsidR="00FA5873" w:rsidRPr="0099292E" w:rsidRDefault="00FA5873" w:rsidP="00542793">
      <w:pPr>
        <w:spacing w:after="0"/>
        <w:contextualSpacing/>
        <w:jc w:val="both"/>
        <w:rPr>
          <w:rFonts w:ascii="Times New Roman" w:eastAsia="Times New Roman" w:hAnsi="Times New Roman" w:cs="Times New Roman"/>
          <w:sz w:val="24"/>
          <w:szCs w:val="24"/>
        </w:rPr>
      </w:pPr>
    </w:p>
    <w:p w14:paraId="6358A054" w14:textId="5A0B9E84" w:rsidR="002C008D" w:rsidRPr="002C008D" w:rsidRDefault="008A7602" w:rsidP="002C008D">
      <w:pPr>
        <w:spacing w:after="0"/>
        <w:ind w:firstLine="426"/>
        <w:contextualSpacing/>
        <w:jc w:val="both"/>
        <w:rPr>
          <w:rFonts w:ascii="Times New Roman" w:eastAsia="Times New Roman" w:hAnsi="Times New Roman" w:cs="Times New Roman"/>
          <w:sz w:val="24"/>
          <w:szCs w:val="24"/>
          <w:lang w:val="id-ID"/>
        </w:rPr>
      </w:pPr>
      <w:r w:rsidRPr="0099292E">
        <w:rPr>
          <w:rFonts w:ascii="Times New Roman" w:eastAsia="Times New Roman" w:hAnsi="Times New Roman" w:cs="Times New Roman"/>
          <w:sz w:val="24"/>
          <w:szCs w:val="24"/>
        </w:rPr>
        <w:t xml:space="preserve">The manufacturing sector is the </w:t>
      </w:r>
      <w:r w:rsidR="00053402" w:rsidRPr="0099292E">
        <w:rPr>
          <w:rFonts w:ascii="Times New Roman" w:eastAsia="Times New Roman" w:hAnsi="Times New Roman" w:cs="Times New Roman"/>
          <w:sz w:val="24"/>
          <w:szCs w:val="24"/>
        </w:rPr>
        <w:t>focus</w:t>
      </w:r>
      <w:r w:rsidRPr="0099292E">
        <w:rPr>
          <w:rFonts w:ascii="Times New Roman" w:eastAsia="Times New Roman" w:hAnsi="Times New Roman" w:cs="Times New Roman"/>
          <w:sz w:val="24"/>
          <w:szCs w:val="24"/>
        </w:rPr>
        <w:t xml:space="preserve"> of research</w:t>
      </w:r>
      <w:r w:rsidR="006124FD" w:rsidRPr="0099292E">
        <w:rPr>
          <w:rFonts w:ascii="Times New Roman" w:eastAsia="Times New Roman" w:hAnsi="Times New Roman" w:cs="Times New Roman"/>
          <w:sz w:val="24"/>
          <w:szCs w:val="24"/>
        </w:rPr>
        <w:t xml:space="preserve">, </w:t>
      </w:r>
      <w:r w:rsidRPr="0099292E">
        <w:rPr>
          <w:rFonts w:ascii="Times New Roman" w:eastAsia="Times New Roman" w:hAnsi="Times New Roman" w:cs="Times New Roman"/>
          <w:sz w:val="24"/>
          <w:szCs w:val="24"/>
        </w:rPr>
        <w:t>followed by research covering all companies listed on the Indonesia Stock Exchange (IDX)</w:t>
      </w:r>
      <w:r w:rsidR="006124FD" w:rsidRPr="0099292E">
        <w:rPr>
          <w:rFonts w:ascii="Times New Roman" w:eastAsia="Times New Roman" w:hAnsi="Times New Roman" w:cs="Times New Roman"/>
          <w:sz w:val="24"/>
          <w:szCs w:val="24"/>
        </w:rPr>
        <w:t xml:space="preserve">. </w:t>
      </w:r>
      <w:r w:rsidR="009A08C3">
        <w:rPr>
          <w:rFonts w:ascii="Times New Roman" w:eastAsia="Times New Roman" w:hAnsi="Times New Roman" w:cs="Times New Roman"/>
          <w:sz w:val="24"/>
          <w:szCs w:val="24"/>
        </w:rPr>
        <w:t>Some studies use</w:t>
      </w:r>
      <w:r w:rsidRPr="0099292E">
        <w:rPr>
          <w:rFonts w:ascii="Times New Roman" w:eastAsia="Times New Roman" w:hAnsi="Times New Roman" w:cs="Times New Roman"/>
          <w:sz w:val="24"/>
          <w:szCs w:val="24"/>
        </w:rPr>
        <w:t xml:space="preserve"> more than one sector as a sample. </w:t>
      </w:r>
      <w:r w:rsidR="00710CF4" w:rsidRPr="0099292E">
        <w:rPr>
          <w:rFonts w:ascii="Times New Roman" w:eastAsia="Times New Roman" w:hAnsi="Times New Roman" w:cs="Times New Roman"/>
          <w:sz w:val="24"/>
          <w:szCs w:val="24"/>
        </w:rPr>
        <w:t>The dominance of the manufacturing sector may be attributed to the availability of extensive financial data, its operational complexity that creates opportunities for tax avoidance, and its substantial contribution to the national economy</w:t>
      </w:r>
      <w:r w:rsidRPr="0099292E">
        <w:rPr>
          <w:rFonts w:ascii="Times New Roman" w:eastAsia="Times New Roman" w:hAnsi="Times New Roman" w:cs="Times New Roman"/>
          <w:sz w:val="24"/>
          <w:szCs w:val="24"/>
        </w:rPr>
        <w:t xml:space="preserve">. Research using all companies listed on the IDX indicates an attempt to </w:t>
      </w:r>
      <w:r w:rsidR="006443B9" w:rsidRPr="0099292E">
        <w:rPr>
          <w:rFonts w:ascii="Times New Roman" w:eastAsia="Times New Roman" w:hAnsi="Times New Roman" w:cs="Times New Roman"/>
          <w:sz w:val="24"/>
          <w:szCs w:val="24"/>
        </w:rPr>
        <w:t>generalize</w:t>
      </w:r>
      <w:r w:rsidRPr="0099292E">
        <w:rPr>
          <w:rFonts w:ascii="Times New Roman" w:eastAsia="Times New Roman" w:hAnsi="Times New Roman" w:cs="Times New Roman"/>
          <w:sz w:val="24"/>
          <w:szCs w:val="24"/>
        </w:rPr>
        <w:t xml:space="preserve"> the findings, but </w:t>
      </w:r>
      <w:r w:rsidR="00053402" w:rsidRPr="0099292E">
        <w:rPr>
          <w:rFonts w:ascii="Times New Roman" w:eastAsia="Times New Roman" w:hAnsi="Times New Roman" w:cs="Times New Roman"/>
          <w:sz w:val="24"/>
          <w:szCs w:val="24"/>
        </w:rPr>
        <w:t>these risks</w:t>
      </w:r>
      <w:r w:rsidRPr="0099292E">
        <w:rPr>
          <w:rFonts w:ascii="Times New Roman" w:eastAsia="Times New Roman" w:hAnsi="Times New Roman" w:cs="Times New Roman"/>
          <w:sz w:val="24"/>
          <w:szCs w:val="24"/>
        </w:rPr>
        <w:t xml:space="preserve"> </w:t>
      </w:r>
      <w:r w:rsidR="00CF2ACB">
        <w:rPr>
          <w:rFonts w:ascii="Times New Roman" w:eastAsia="Times New Roman" w:hAnsi="Times New Roman" w:cs="Times New Roman"/>
          <w:sz w:val="24"/>
          <w:szCs w:val="24"/>
        </w:rPr>
        <w:t>disguise</w:t>
      </w:r>
      <w:r w:rsidRPr="0099292E">
        <w:rPr>
          <w:rFonts w:ascii="Times New Roman" w:eastAsia="Times New Roman" w:hAnsi="Times New Roman" w:cs="Times New Roman"/>
          <w:sz w:val="24"/>
          <w:szCs w:val="24"/>
        </w:rPr>
        <w:t xml:space="preserve"> differences in ESG and </w:t>
      </w:r>
      <w:r w:rsidR="009A08C3">
        <w:rPr>
          <w:rFonts w:ascii="Times New Roman" w:eastAsia="Times New Roman" w:hAnsi="Times New Roman" w:cs="Times New Roman"/>
          <w:sz w:val="24"/>
          <w:szCs w:val="24"/>
        </w:rPr>
        <w:t>sector-specific tax avoidance dynamics</w:t>
      </w:r>
      <w:r w:rsidRPr="0099292E">
        <w:rPr>
          <w:rFonts w:ascii="Times New Roman" w:eastAsia="Times New Roman" w:hAnsi="Times New Roman" w:cs="Times New Roman"/>
          <w:sz w:val="24"/>
          <w:szCs w:val="24"/>
        </w:rPr>
        <w:t>. Other sectors</w:t>
      </w:r>
      <w:r w:rsidR="00CF2ACB">
        <w:rPr>
          <w:rFonts w:ascii="Times New Roman" w:eastAsia="Times New Roman" w:hAnsi="Times New Roman" w:cs="Times New Roman"/>
          <w:sz w:val="24"/>
          <w:szCs w:val="24"/>
        </w:rPr>
        <w:t>,</w:t>
      </w:r>
      <w:r w:rsidRPr="0099292E">
        <w:rPr>
          <w:rFonts w:ascii="Times New Roman" w:eastAsia="Times New Roman" w:hAnsi="Times New Roman" w:cs="Times New Roman"/>
          <w:sz w:val="24"/>
          <w:szCs w:val="24"/>
        </w:rPr>
        <w:t xml:space="preserve"> such as mining, property, and finance</w:t>
      </w:r>
      <w:r w:rsidR="00CF2ACB">
        <w:rPr>
          <w:rFonts w:ascii="Times New Roman" w:eastAsia="Times New Roman" w:hAnsi="Times New Roman" w:cs="Times New Roman"/>
          <w:sz w:val="24"/>
          <w:szCs w:val="24"/>
        </w:rPr>
        <w:t>,</w:t>
      </w:r>
      <w:r w:rsidRPr="0099292E">
        <w:rPr>
          <w:rFonts w:ascii="Times New Roman" w:eastAsia="Times New Roman" w:hAnsi="Times New Roman" w:cs="Times New Roman"/>
          <w:sz w:val="24"/>
          <w:szCs w:val="24"/>
        </w:rPr>
        <w:t xml:space="preserve"> are also the object of research, but in much smaller proportions. The lack of exploration on specific sectors</w:t>
      </w:r>
      <w:r w:rsidR="00CF2ACB">
        <w:rPr>
          <w:rFonts w:ascii="Times New Roman" w:eastAsia="Times New Roman" w:hAnsi="Times New Roman" w:cs="Times New Roman"/>
          <w:sz w:val="24"/>
          <w:szCs w:val="24"/>
        </w:rPr>
        <w:t>,</w:t>
      </w:r>
      <w:r w:rsidRPr="0099292E">
        <w:rPr>
          <w:rFonts w:ascii="Times New Roman" w:eastAsia="Times New Roman" w:hAnsi="Times New Roman" w:cs="Times New Roman"/>
          <w:sz w:val="24"/>
          <w:szCs w:val="24"/>
        </w:rPr>
        <w:t xml:space="preserve"> such as services, technology, or highly regulated sectors, presents a significant gap for future research.</w:t>
      </w:r>
    </w:p>
    <w:p w14:paraId="4AD7BADF" w14:textId="498A9576" w:rsidR="00FA5873" w:rsidRPr="002C008D" w:rsidRDefault="008A7602" w:rsidP="00542793">
      <w:pPr>
        <w:spacing w:after="0"/>
        <w:contextualSpacing/>
        <w:jc w:val="both"/>
        <w:rPr>
          <w:rFonts w:ascii="Times New Roman" w:eastAsia="Times New Roman" w:hAnsi="Times New Roman" w:cs="Times New Roman"/>
          <w:b/>
          <w:bCs/>
          <w:i/>
          <w:sz w:val="24"/>
          <w:szCs w:val="24"/>
        </w:rPr>
      </w:pPr>
      <w:r w:rsidRPr="002C008D">
        <w:rPr>
          <w:rFonts w:ascii="Times New Roman" w:eastAsia="Times New Roman" w:hAnsi="Times New Roman" w:cs="Times New Roman"/>
          <w:b/>
          <w:bCs/>
          <w:i/>
          <w:sz w:val="24"/>
          <w:szCs w:val="24"/>
        </w:rPr>
        <w:t>Classification by Theory</w:t>
      </w:r>
    </w:p>
    <w:p w14:paraId="21389EEA" w14:textId="1E25FF27" w:rsidR="008A7602" w:rsidRPr="0099292E" w:rsidRDefault="00685695" w:rsidP="00542793">
      <w:pPr>
        <w:spacing w:after="0"/>
        <w:ind w:firstLine="426"/>
        <w:contextualSpacing/>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The research is based on theories that offer a core conceptual framework for understanding and explaining how ESG factors relate to tax avoidance</w:t>
      </w:r>
      <w:r w:rsidR="008A7602" w:rsidRPr="0099292E">
        <w:rPr>
          <w:rFonts w:ascii="Times New Roman" w:eastAsia="Times New Roman" w:hAnsi="Times New Roman" w:cs="Times New Roman"/>
          <w:sz w:val="24"/>
          <w:szCs w:val="24"/>
        </w:rPr>
        <w:t xml:space="preserve">. </w:t>
      </w:r>
      <w:r w:rsidRPr="0099292E">
        <w:rPr>
          <w:rFonts w:ascii="Times New Roman" w:eastAsia="Times New Roman" w:hAnsi="Times New Roman" w:cs="Times New Roman"/>
          <w:sz w:val="24"/>
          <w:szCs w:val="24"/>
        </w:rPr>
        <w:t>By examining Table 5, we can observe the distribution of theories employed in the sample articles.</w:t>
      </w:r>
    </w:p>
    <w:p w14:paraId="2B1DD2CF" w14:textId="77777777" w:rsidR="00685695" w:rsidRPr="0099292E" w:rsidRDefault="00685695" w:rsidP="00542793">
      <w:pPr>
        <w:spacing w:after="0"/>
        <w:ind w:firstLine="426"/>
        <w:contextualSpacing/>
        <w:jc w:val="both"/>
        <w:rPr>
          <w:rFonts w:ascii="Times New Roman" w:eastAsia="Times New Roman" w:hAnsi="Times New Roman" w:cs="Times New Roman"/>
          <w:sz w:val="24"/>
          <w:szCs w:val="24"/>
        </w:rPr>
      </w:pPr>
    </w:p>
    <w:p w14:paraId="5A757906" w14:textId="34751ADB" w:rsidR="00484662" w:rsidRPr="0075688F" w:rsidRDefault="00484662" w:rsidP="0075688F">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75688F">
        <w:rPr>
          <w:rFonts w:ascii="Times New Roman" w:hAnsi="Times New Roman" w:cs="Times New Roman"/>
          <w:b/>
          <w:bCs/>
          <w:i w:val="0"/>
          <w:iCs w:val="0"/>
          <w:color w:val="000000" w:themeColor="text1"/>
          <w:sz w:val="24"/>
          <w:szCs w:val="24"/>
        </w:rPr>
        <w:t>Tab</w:t>
      </w:r>
      <w:r w:rsidR="008A7602" w:rsidRPr="0075688F">
        <w:rPr>
          <w:rFonts w:ascii="Times New Roman" w:hAnsi="Times New Roman" w:cs="Times New Roman"/>
          <w:b/>
          <w:bCs/>
          <w:i w:val="0"/>
          <w:iCs w:val="0"/>
          <w:color w:val="000000" w:themeColor="text1"/>
          <w:sz w:val="24"/>
          <w:szCs w:val="24"/>
        </w:rPr>
        <w:t>le</w:t>
      </w:r>
      <w:r w:rsidRPr="0075688F">
        <w:rPr>
          <w:rFonts w:ascii="Times New Roman" w:hAnsi="Times New Roman" w:cs="Times New Roman"/>
          <w:b/>
          <w:bCs/>
          <w:i w:val="0"/>
          <w:iCs w:val="0"/>
          <w:color w:val="000000" w:themeColor="text1"/>
          <w:sz w:val="24"/>
          <w:szCs w:val="24"/>
        </w:rPr>
        <w:t xml:space="preserve"> </w:t>
      </w:r>
      <w:r w:rsidR="001F50EF" w:rsidRPr="0075688F">
        <w:rPr>
          <w:rFonts w:ascii="Times New Roman" w:hAnsi="Times New Roman" w:cs="Times New Roman"/>
          <w:b/>
          <w:bCs/>
          <w:i w:val="0"/>
          <w:iCs w:val="0"/>
          <w:color w:val="000000" w:themeColor="text1"/>
          <w:sz w:val="24"/>
          <w:szCs w:val="24"/>
        </w:rPr>
        <w:t>5</w:t>
      </w:r>
      <w:r w:rsidRPr="0075688F">
        <w:rPr>
          <w:rFonts w:ascii="Times New Roman" w:hAnsi="Times New Roman" w:cs="Times New Roman"/>
          <w:b/>
          <w:bCs/>
          <w:i w:val="0"/>
          <w:iCs w:val="0"/>
          <w:color w:val="000000" w:themeColor="text1"/>
          <w:sz w:val="24"/>
          <w:szCs w:val="24"/>
        </w:rPr>
        <w:t xml:space="preserve">. </w:t>
      </w:r>
      <w:r w:rsidR="008A7602" w:rsidRPr="0075688F">
        <w:rPr>
          <w:rFonts w:ascii="Times New Roman" w:hAnsi="Times New Roman" w:cs="Times New Roman"/>
          <w:b/>
          <w:bCs/>
          <w:i w:val="0"/>
          <w:iCs w:val="0"/>
          <w:color w:val="000000" w:themeColor="text1"/>
          <w:sz w:val="24"/>
          <w:szCs w:val="24"/>
        </w:rPr>
        <w:t>Number of Articles by Theory Used</w:t>
      </w:r>
    </w:p>
    <w:tbl>
      <w:tblPr>
        <w:tblStyle w:val="PlainTable21"/>
        <w:tblW w:w="4994" w:type="pct"/>
        <w:tblLayout w:type="fixed"/>
        <w:tblLook w:val="04A0" w:firstRow="1" w:lastRow="0" w:firstColumn="1" w:lastColumn="0" w:noHBand="0" w:noVBand="1"/>
      </w:tblPr>
      <w:tblGrid>
        <w:gridCol w:w="5496"/>
        <w:gridCol w:w="1415"/>
        <w:gridCol w:w="63"/>
        <w:gridCol w:w="1955"/>
        <w:gridCol w:w="63"/>
      </w:tblGrid>
      <w:tr w:rsidR="00314278" w:rsidRPr="0099292E" w14:paraId="3AE5BCE6" w14:textId="77777777" w:rsidTr="00357B5D">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3056" w:type="pct"/>
            <w:noWrap/>
            <w:vAlign w:val="center"/>
            <w:hideMark/>
          </w:tcPr>
          <w:p w14:paraId="1CDEC155" w14:textId="47A5FB13" w:rsidR="00314278" w:rsidRPr="0075688F" w:rsidRDefault="00314278" w:rsidP="00357B5D">
            <w:pPr>
              <w:spacing w:line="276" w:lineRule="auto"/>
              <w:rPr>
                <w:rFonts w:ascii="Times New Roman" w:eastAsia="Times New Roman" w:hAnsi="Times New Roman" w:cs="Times New Roman"/>
                <w:color w:val="000000"/>
                <w:sz w:val="24"/>
                <w:szCs w:val="24"/>
              </w:rPr>
            </w:pPr>
            <w:r w:rsidRPr="0075688F">
              <w:rPr>
                <w:rFonts w:ascii="Times New Roman" w:eastAsia="Times New Roman" w:hAnsi="Times New Roman" w:cs="Times New Roman"/>
                <w:color w:val="000000"/>
                <w:sz w:val="24"/>
                <w:szCs w:val="24"/>
              </w:rPr>
              <w:t>T</w:t>
            </w:r>
            <w:r w:rsidR="008A7602" w:rsidRPr="0075688F">
              <w:rPr>
                <w:rFonts w:ascii="Times New Roman" w:eastAsia="Times New Roman" w:hAnsi="Times New Roman" w:cs="Times New Roman"/>
                <w:color w:val="000000"/>
                <w:sz w:val="24"/>
                <w:szCs w:val="24"/>
              </w:rPr>
              <w:t>h</w:t>
            </w:r>
            <w:r w:rsidRPr="0075688F">
              <w:rPr>
                <w:rFonts w:ascii="Times New Roman" w:eastAsia="Times New Roman" w:hAnsi="Times New Roman" w:cs="Times New Roman"/>
                <w:color w:val="000000"/>
                <w:sz w:val="24"/>
                <w:szCs w:val="24"/>
              </w:rPr>
              <w:t>eor</w:t>
            </w:r>
            <w:r w:rsidR="008A7602" w:rsidRPr="0075688F">
              <w:rPr>
                <w:rFonts w:ascii="Times New Roman" w:eastAsia="Times New Roman" w:hAnsi="Times New Roman" w:cs="Times New Roman"/>
                <w:color w:val="000000"/>
                <w:sz w:val="24"/>
                <w:szCs w:val="24"/>
              </w:rPr>
              <w:t>y</w:t>
            </w:r>
          </w:p>
        </w:tc>
        <w:tc>
          <w:tcPr>
            <w:tcW w:w="822" w:type="pct"/>
            <w:gridSpan w:val="2"/>
            <w:noWrap/>
            <w:vAlign w:val="center"/>
            <w:hideMark/>
          </w:tcPr>
          <w:p w14:paraId="28ABA5A2" w14:textId="40FEACD6" w:rsidR="00314278" w:rsidRPr="0075688F" w:rsidRDefault="00A171FB" w:rsidP="00357B5D">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688F">
              <w:rPr>
                <w:rFonts w:ascii="Times New Roman" w:eastAsia="Times New Roman" w:hAnsi="Times New Roman" w:cs="Times New Roman"/>
                <w:color w:val="000000"/>
                <w:sz w:val="24"/>
                <w:szCs w:val="24"/>
              </w:rPr>
              <w:t>Number of Articles</w:t>
            </w:r>
          </w:p>
        </w:tc>
        <w:tc>
          <w:tcPr>
            <w:tcW w:w="1122" w:type="pct"/>
            <w:gridSpan w:val="2"/>
            <w:noWrap/>
            <w:vAlign w:val="center"/>
            <w:hideMark/>
          </w:tcPr>
          <w:p w14:paraId="5BFE03D4" w14:textId="54D1D3D3" w:rsidR="00314278" w:rsidRPr="0075688F" w:rsidRDefault="00A171FB" w:rsidP="00357B5D">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688F">
              <w:rPr>
                <w:rFonts w:ascii="Times New Roman" w:eastAsia="Times New Roman" w:hAnsi="Times New Roman" w:cs="Times New Roman"/>
                <w:color w:val="000000"/>
                <w:sz w:val="24"/>
                <w:szCs w:val="24"/>
              </w:rPr>
              <w:t>Percentage</w:t>
            </w:r>
          </w:p>
        </w:tc>
      </w:tr>
      <w:tr w:rsidR="00314278" w:rsidRPr="0099292E" w14:paraId="41F7F82D"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bottom w:val="nil"/>
            </w:tcBorders>
            <w:noWrap/>
            <w:hideMark/>
          </w:tcPr>
          <w:p w14:paraId="1A8C9814"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Agency Theory</w:t>
            </w:r>
          </w:p>
        </w:tc>
        <w:tc>
          <w:tcPr>
            <w:tcW w:w="787" w:type="pct"/>
            <w:tcBorders>
              <w:bottom w:val="nil"/>
            </w:tcBorders>
            <w:noWrap/>
            <w:hideMark/>
          </w:tcPr>
          <w:p w14:paraId="1EB2E68C"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46</w:t>
            </w:r>
          </w:p>
        </w:tc>
        <w:tc>
          <w:tcPr>
            <w:tcW w:w="1122" w:type="pct"/>
            <w:gridSpan w:val="2"/>
            <w:tcBorders>
              <w:bottom w:val="nil"/>
            </w:tcBorders>
            <w:noWrap/>
            <w:hideMark/>
          </w:tcPr>
          <w:p w14:paraId="504353F0" w14:textId="0038CACB"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69%</w:t>
            </w:r>
          </w:p>
        </w:tc>
      </w:tr>
      <w:tr w:rsidR="00314278" w:rsidRPr="0099292E" w14:paraId="7A324C26" w14:textId="77777777" w:rsidTr="00357B5D">
        <w:trPr>
          <w:gridAfter w:val="1"/>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60F8B5F4"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Legitimacy Theory</w:t>
            </w:r>
          </w:p>
        </w:tc>
        <w:tc>
          <w:tcPr>
            <w:tcW w:w="787" w:type="pct"/>
            <w:tcBorders>
              <w:top w:val="nil"/>
              <w:bottom w:val="nil"/>
            </w:tcBorders>
            <w:noWrap/>
            <w:hideMark/>
          </w:tcPr>
          <w:p w14:paraId="40694927" w14:textId="77777777"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10</w:t>
            </w:r>
          </w:p>
        </w:tc>
        <w:tc>
          <w:tcPr>
            <w:tcW w:w="1122" w:type="pct"/>
            <w:gridSpan w:val="2"/>
            <w:tcBorders>
              <w:top w:val="nil"/>
              <w:bottom w:val="nil"/>
            </w:tcBorders>
            <w:noWrap/>
            <w:hideMark/>
          </w:tcPr>
          <w:p w14:paraId="22282C25" w14:textId="326DDE39"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24%</w:t>
            </w:r>
          </w:p>
        </w:tc>
      </w:tr>
      <w:tr w:rsidR="00314278" w:rsidRPr="0099292E" w14:paraId="686F545E"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76A03D4C"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Stakeholders Theory</w:t>
            </w:r>
          </w:p>
        </w:tc>
        <w:tc>
          <w:tcPr>
            <w:tcW w:w="787" w:type="pct"/>
            <w:tcBorders>
              <w:top w:val="nil"/>
              <w:bottom w:val="nil"/>
            </w:tcBorders>
            <w:noWrap/>
            <w:hideMark/>
          </w:tcPr>
          <w:p w14:paraId="7C5C713C"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p>
        </w:tc>
        <w:tc>
          <w:tcPr>
            <w:tcW w:w="1122" w:type="pct"/>
            <w:gridSpan w:val="2"/>
            <w:tcBorders>
              <w:top w:val="nil"/>
              <w:bottom w:val="nil"/>
            </w:tcBorders>
            <w:noWrap/>
            <w:hideMark/>
          </w:tcPr>
          <w:p w14:paraId="017108E8" w14:textId="74C8FB76"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87%</w:t>
            </w:r>
          </w:p>
        </w:tc>
      </w:tr>
      <w:tr w:rsidR="00314278" w:rsidRPr="0099292E" w14:paraId="349DF344" w14:textId="77777777" w:rsidTr="00357B5D">
        <w:trPr>
          <w:gridAfter w:val="1"/>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12047ACF"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 xml:space="preserve">Trade-Off Theory </w:t>
            </w:r>
          </w:p>
        </w:tc>
        <w:tc>
          <w:tcPr>
            <w:tcW w:w="787" w:type="pct"/>
            <w:tcBorders>
              <w:top w:val="nil"/>
              <w:bottom w:val="nil"/>
            </w:tcBorders>
            <w:noWrap/>
            <w:hideMark/>
          </w:tcPr>
          <w:p w14:paraId="50E82247" w14:textId="77777777"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122" w:type="pct"/>
            <w:gridSpan w:val="2"/>
            <w:tcBorders>
              <w:top w:val="nil"/>
              <w:bottom w:val="nil"/>
            </w:tcBorders>
            <w:noWrap/>
            <w:hideMark/>
          </w:tcPr>
          <w:p w14:paraId="7477D7C7" w14:textId="59BE7C22"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62%</w:t>
            </w:r>
          </w:p>
        </w:tc>
      </w:tr>
      <w:tr w:rsidR="00314278" w:rsidRPr="0099292E" w14:paraId="759213CB"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2A8A48DA"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Political Power Theory</w:t>
            </w:r>
          </w:p>
        </w:tc>
        <w:tc>
          <w:tcPr>
            <w:tcW w:w="787" w:type="pct"/>
            <w:tcBorders>
              <w:top w:val="nil"/>
              <w:bottom w:val="nil"/>
            </w:tcBorders>
            <w:noWrap/>
            <w:hideMark/>
          </w:tcPr>
          <w:p w14:paraId="1619A22C"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p>
        </w:tc>
        <w:tc>
          <w:tcPr>
            <w:tcW w:w="1122" w:type="pct"/>
            <w:gridSpan w:val="2"/>
            <w:tcBorders>
              <w:top w:val="nil"/>
              <w:bottom w:val="nil"/>
            </w:tcBorders>
            <w:noWrap/>
            <w:hideMark/>
          </w:tcPr>
          <w:p w14:paraId="706F36B1" w14:textId="3697CFDD"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49%</w:t>
            </w:r>
          </w:p>
        </w:tc>
      </w:tr>
      <w:tr w:rsidR="00314278" w:rsidRPr="0099292E" w14:paraId="7A1EDF41" w14:textId="77777777" w:rsidTr="00357B5D">
        <w:trPr>
          <w:gridAfter w:val="1"/>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000E3761"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Upper Echelon Theory</w:t>
            </w:r>
          </w:p>
        </w:tc>
        <w:tc>
          <w:tcPr>
            <w:tcW w:w="787" w:type="pct"/>
            <w:tcBorders>
              <w:top w:val="nil"/>
              <w:bottom w:val="nil"/>
            </w:tcBorders>
            <w:noWrap/>
            <w:hideMark/>
          </w:tcPr>
          <w:p w14:paraId="3C6F359E" w14:textId="77777777"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p>
        </w:tc>
        <w:tc>
          <w:tcPr>
            <w:tcW w:w="1122" w:type="pct"/>
            <w:gridSpan w:val="2"/>
            <w:tcBorders>
              <w:top w:val="nil"/>
              <w:bottom w:val="nil"/>
            </w:tcBorders>
            <w:noWrap/>
            <w:hideMark/>
          </w:tcPr>
          <w:p w14:paraId="1168BCC7" w14:textId="2BA569D2"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49%</w:t>
            </w:r>
          </w:p>
        </w:tc>
      </w:tr>
      <w:tr w:rsidR="00314278" w:rsidRPr="0099292E" w14:paraId="52A815BB"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0D67ACF7"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Positive Accounting Theory</w:t>
            </w:r>
          </w:p>
        </w:tc>
        <w:tc>
          <w:tcPr>
            <w:tcW w:w="787" w:type="pct"/>
            <w:tcBorders>
              <w:top w:val="nil"/>
              <w:bottom w:val="nil"/>
            </w:tcBorders>
            <w:noWrap/>
            <w:hideMark/>
          </w:tcPr>
          <w:p w14:paraId="5D632604"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p>
        </w:tc>
        <w:tc>
          <w:tcPr>
            <w:tcW w:w="1122" w:type="pct"/>
            <w:gridSpan w:val="2"/>
            <w:tcBorders>
              <w:top w:val="nil"/>
              <w:bottom w:val="nil"/>
            </w:tcBorders>
            <w:noWrap/>
            <w:hideMark/>
          </w:tcPr>
          <w:p w14:paraId="3FB660B0" w14:textId="479C8B98"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37%</w:t>
            </w:r>
          </w:p>
        </w:tc>
      </w:tr>
      <w:tr w:rsidR="00314278" w:rsidRPr="0099292E" w14:paraId="1C62FD3D" w14:textId="77777777" w:rsidTr="00357B5D">
        <w:trPr>
          <w:gridAfter w:val="1"/>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15567FF4" w14:textId="42AC8E67" w:rsidR="00314278" w:rsidRPr="0099292E" w:rsidRDefault="00CF2ACB" w:rsidP="0075688F">
            <w:pPr>
              <w:spacing w:line="276" w:lineRule="auto"/>
              <w:rPr>
                <w:rFonts w:ascii="Times New Roman" w:eastAsia="Times New Roman" w:hAnsi="Times New Roman" w:cs="Times New Roman"/>
                <w:b w:val="0"/>
                <w:bCs w:val="0"/>
                <w:color w:val="000000"/>
              </w:rPr>
            </w:pPr>
            <w:r>
              <w:rPr>
                <w:rFonts w:ascii="Times New Roman" w:eastAsia="Times New Roman" w:hAnsi="Times New Roman" w:cs="Times New Roman"/>
                <w:b w:val="0"/>
                <w:bCs w:val="0"/>
                <w:color w:val="000000"/>
              </w:rPr>
              <w:t>Resource-Based View</w:t>
            </w:r>
            <w:r w:rsidR="00314278" w:rsidRPr="0099292E">
              <w:rPr>
                <w:rFonts w:ascii="Times New Roman" w:eastAsia="Times New Roman" w:hAnsi="Times New Roman" w:cs="Times New Roman"/>
                <w:b w:val="0"/>
                <w:bCs w:val="0"/>
                <w:color w:val="000000"/>
              </w:rPr>
              <w:t xml:space="preserve"> Theory</w:t>
            </w:r>
          </w:p>
        </w:tc>
        <w:tc>
          <w:tcPr>
            <w:tcW w:w="787" w:type="pct"/>
            <w:tcBorders>
              <w:top w:val="nil"/>
              <w:bottom w:val="nil"/>
            </w:tcBorders>
            <w:noWrap/>
            <w:hideMark/>
          </w:tcPr>
          <w:p w14:paraId="32775F06" w14:textId="77777777"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122" w:type="pct"/>
            <w:gridSpan w:val="2"/>
            <w:tcBorders>
              <w:top w:val="nil"/>
              <w:bottom w:val="nil"/>
            </w:tcBorders>
            <w:noWrap/>
            <w:hideMark/>
          </w:tcPr>
          <w:p w14:paraId="2885498A" w14:textId="40E202F8"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25%</w:t>
            </w:r>
          </w:p>
        </w:tc>
      </w:tr>
      <w:tr w:rsidR="00314278" w:rsidRPr="0099292E" w14:paraId="2B19697F"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1C99D94A" w14:textId="413EBB2E" w:rsidR="00314278" w:rsidRPr="0099292E" w:rsidRDefault="00275AB2"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Signaling</w:t>
            </w:r>
            <w:r w:rsidR="00314278" w:rsidRPr="0099292E">
              <w:rPr>
                <w:rFonts w:ascii="Times New Roman" w:eastAsia="Times New Roman" w:hAnsi="Times New Roman" w:cs="Times New Roman"/>
                <w:b w:val="0"/>
                <w:bCs w:val="0"/>
                <w:color w:val="000000"/>
              </w:rPr>
              <w:t xml:space="preserve"> Theory</w:t>
            </w:r>
          </w:p>
        </w:tc>
        <w:tc>
          <w:tcPr>
            <w:tcW w:w="787" w:type="pct"/>
            <w:tcBorders>
              <w:top w:val="nil"/>
              <w:bottom w:val="nil"/>
            </w:tcBorders>
            <w:noWrap/>
            <w:hideMark/>
          </w:tcPr>
          <w:p w14:paraId="5531B456"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122" w:type="pct"/>
            <w:gridSpan w:val="2"/>
            <w:tcBorders>
              <w:top w:val="nil"/>
              <w:bottom w:val="nil"/>
            </w:tcBorders>
            <w:noWrap/>
            <w:hideMark/>
          </w:tcPr>
          <w:p w14:paraId="6EE039E1" w14:textId="32A757EA"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25%</w:t>
            </w:r>
          </w:p>
        </w:tc>
      </w:tr>
      <w:tr w:rsidR="00314278" w:rsidRPr="0099292E" w14:paraId="0BF0D3AF" w14:textId="77777777" w:rsidTr="00357B5D">
        <w:trPr>
          <w:gridAfter w:val="1"/>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08F0F140"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lastRenderedPageBreak/>
              <w:t>Balance Theory</w:t>
            </w:r>
          </w:p>
        </w:tc>
        <w:tc>
          <w:tcPr>
            <w:tcW w:w="787" w:type="pct"/>
            <w:tcBorders>
              <w:top w:val="nil"/>
              <w:bottom w:val="nil"/>
            </w:tcBorders>
            <w:noWrap/>
            <w:hideMark/>
          </w:tcPr>
          <w:p w14:paraId="1E63DC00" w14:textId="77777777"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22" w:type="pct"/>
            <w:gridSpan w:val="2"/>
            <w:tcBorders>
              <w:top w:val="nil"/>
              <w:bottom w:val="nil"/>
            </w:tcBorders>
            <w:noWrap/>
            <w:hideMark/>
          </w:tcPr>
          <w:p w14:paraId="77FBA4DE" w14:textId="4DEA95CD"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12%</w:t>
            </w:r>
          </w:p>
        </w:tc>
      </w:tr>
      <w:tr w:rsidR="00314278" w:rsidRPr="0099292E" w14:paraId="7CB3A29E"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30F59DF1"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Fraud Triangle Theory</w:t>
            </w:r>
          </w:p>
        </w:tc>
        <w:tc>
          <w:tcPr>
            <w:tcW w:w="787" w:type="pct"/>
            <w:tcBorders>
              <w:top w:val="nil"/>
              <w:bottom w:val="nil"/>
            </w:tcBorders>
            <w:noWrap/>
            <w:hideMark/>
          </w:tcPr>
          <w:p w14:paraId="59B8F752"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22" w:type="pct"/>
            <w:gridSpan w:val="2"/>
            <w:tcBorders>
              <w:top w:val="nil"/>
              <w:bottom w:val="nil"/>
            </w:tcBorders>
            <w:noWrap/>
            <w:hideMark/>
          </w:tcPr>
          <w:p w14:paraId="27F4FDA6" w14:textId="7C58383F"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12%</w:t>
            </w:r>
          </w:p>
        </w:tc>
      </w:tr>
      <w:tr w:rsidR="00314278" w:rsidRPr="0099292E" w14:paraId="64A0E936" w14:textId="77777777" w:rsidTr="00357B5D">
        <w:trPr>
          <w:gridAfter w:val="1"/>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12727506"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Grabbing Hand Theory</w:t>
            </w:r>
          </w:p>
        </w:tc>
        <w:tc>
          <w:tcPr>
            <w:tcW w:w="787" w:type="pct"/>
            <w:tcBorders>
              <w:top w:val="nil"/>
              <w:bottom w:val="nil"/>
            </w:tcBorders>
            <w:noWrap/>
            <w:hideMark/>
          </w:tcPr>
          <w:p w14:paraId="4C0010C4" w14:textId="77777777"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22" w:type="pct"/>
            <w:gridSpan w:val="2"/>
            <w:tcBorders>
              <w:top w:val="nil"/>
              <w:bottom w:val="nil"/>
            </w:tcBorders>
            <w:noWrap/>
            <w:hideMark/>
          </w:tcPr>
          <w:p w14:paraId="399001C6" w14:textId="4EB3AA78"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12%</w:t>
            </w:r>
          </w:p>
        </w:tc>
      </w:tr>
      <w:tr w:rsidR="00314278" w:rsidRPr="0099292E" w14:paraId="70130E43"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0C1FA61F"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Resource Dependence Theory</w:t>
            </w:r>
          </w:p>
        </w:tc>
        <w:tc>
          <w:tcPr>
            <w:tcW w:w="787" w:type="pct"/>
            <w:tcBorders>
              <w:top w:val="nil"/>
              <w:bottom w:val="nil"/>
            </w:tcBorders>
            <w:noWrap/>
            <w:hideMark/>
          </w:tcPr>
          <w:p w14:paraId="35349D26"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22" w:type="pct"/>
            <w:gridSpan w:val="2"/>
            <w:tcBorders>
              <w:top w:val="nil"/>
              <w:bottom w:val="nil"/>
            </w:tcBorders>
            <w:noWrap/>
            <w:hideMark/>
          </w:tcPr>
          <w:p w14:paraId="3E7D82E3" w14:textId="4DD7B6A0"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12%</w:t>
            </w:r>
          </w:p>
        </w:tc>
      </w:tr>
      <w:tr w:rsidR="00314278" w:rsidRPr="0099292E" w14:paraId="5741CCEE" w14:textId="77777777" w:rsidTr="00357B5D">
        <w:trPr>
          <w:gridAfter w:val="1"/>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bottom w:val="nil"/>
            </w:tcBorders>
            <w:noWrap/>
            <w:hideMark/>
          </w:tcPr>
          <w:p w14:paraId="26170B57"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Stewardship Theory</w:t>
            </w:r>
          </w:p>
        </w:tc>
        <w:tc>
          <w:tcPr>
            <w:tcW w:w="787" w:type="pct"/>
            <w:tcBorders>
              <w:top w:val="nil"/>
              <w:bottom w:val="nil"/>
            </w:tcBorders>
            <w:noWrap/>
            <w:hideMark/>
          </w:tcPr>
          <w:p w14:paraId="5D1ACAC4" w14:textId="77777777"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22" w:type="pct"/>
            <w:gridSpan w:val="2"/>
            <w:tcBorders>
              <w:top w:val="nil"/>
              <w:bottom w:val="nil"/>
            </w:tcBorders>
            <w:noWrap/>
            <w:hideMark/>
          </w:tcPr>
          <w:p w14:paraId="67E1A9F3" w14:textId="1A806CCF" w:rsidR="00314278" w:rsidRPr="0099292E" w:rsidRDefault="00314278" w:rsidP="00357B5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12%</w:t>
            </w:r>
          </w:p>
        </w:tc>
      </w:tr>
      <w:tr w:rsidR="00314278" w:rsidRPr="0099292E" w14:paraId="2B0C94B9" w14:textId="77777777" w:rsidTr="00357B5D">
        <w:trPr>
          <w:gridAfter w:val="1"/>
          <w:cnfStyle w:val="000000100000" w:firstRow="0" w:lastRow="0" w:firstColumn="0" w:lastColumn="0" w:oddVBand="0" w:evenVBand="0" w:oddHBand="1" w:evenHBand="0" w:firstRowFirstColumn="0" w:firstRowLastColumn="0" w:lastRowFirstColumn="0" w:lastRowLastColumn="0"/>
          <w:wAfter w:w="35" w:type="pct"/>
          <w:trHeight w:val="290"/>
        </w:trPr>
        <w:tc>
          <w:tcPr>
            <w:cnfStyle w:val="001000000000" w:firstRow="0" w:lastRow="0" w:firstColumn="1" w:lastColumn="0" w:oddVBand="0" w:evenVBand="0" w:oddHBand="0" w:evenHBand="0" w:firstRowFirstColumn="0" w:firstRowLastColumn="0" w:lastRowFirstColumn="0" w:lastRowLastColumn="0"/>
            <w:tcW w:w="3056" w:type="pct"/>
            <w:tcBorders>
              <w:top w:val="nil"/>
            </w:tcBorders>
            <w:noWrap/>
            <w:hideMark/>
          </w:tcPr>
          <w:p w14:paraId="125FB7C1" w14:textId="77777777" w:rsidR="00314278" w:rsidRPr="0099292E" w:rsidRDefault="00314278" w:rsidP="0075688F">
            <w:pPr>
              <w:spacing w:line="276" w:lineRule="auto"/>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Rent-Seeking Theory</w:t>
            </w:r>
          </w:p>
        </w:tc>
        <w:tc>
          <w:tcPr>
            <w:tcW w:w="787" w:type="pct"/>
            <w:tcBorders>
              <w:top w:val="nil"/>
            </w:tcBorders>
            <w:noWrap/>
            <w:hideMark/>
          </w:tcPr>
          <w:p w14:paraId="7D193329" w14:textId="77777777"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22" w:type="pct"/>
            <w:gridSpan w:val="2"/>
            <w:tcBorders>
              <w:top w:val="nil"/>
            </w:tcBorders>
            <w:noWrap/>
            <w:hideMark/>
          </w:tcPr>
          <w:p w14:paraId="4ACCBA1C" w14:textId="2A313F4A" w:rsidR="00314278" w:rsidRPr="0099292E" w:rsidRDefault="00314278" w:rsidP="00357B5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A37438"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12%</w:t>
            </w:r>
          </w:p>
        </w:tc>
      </w:tr>
    </w:tbl>
    <w:p w14:paraId="0BDE3C12" w14:textId="77777777" w:rsidR="00FA5873" w:rsidRPr="0099292E" w:rsidRDefault="00FA5873" w:rsidP="0075688F">
      <w:pPr>
        <w:spacing w:after="0"/>
        <w:ind w:firstLine="426"/>
        <w:contextualSpacing/>
        <w:jc w:val="both"/>
        <w:rPr>
          <w:rFonts w:ascii="Times New Roman" w:eastAsia="Times New Roman" w:hAnsi="Times New Roman" w:cs="Times New Roman"/>
          <w:sz w:val="24"/>
          <w:szCs w:val="24"/>
        </w:rPr>
      </w:pPr>
    </w:p>
    <w:p w14:paraId="39B20975" w14:textId="70DFCABA" w:rsidR="00A171FB" w:rsidRPr="00F428C4" w:rsidRDefault="00710CF4" w:rsidP="00F428C4">
      <w:pPr>
        <w:spacing w:after="0"/>
        <w:ind w:firstLine="426"/>
        <w:contextualSpacing/>
        <w:jc w:val="both"/>
        <w:rPr>
          <w:rFonts w:ascii="Times New Roman" w:eastAsia="Times New Roman" w:hAnsi="Times New Roman" w:cs="Times New Roman"/>
          <w:sz w:val="24"/>
          <w:szCs w:val="24"/>
        </w:rPr>
      </w:pPr>
      <w:r w:rsidRPr="00F428C4">
        <w:rPr>
          <w:rFonts w:ascii="Times New Roman" w:eastAsia="Times New Roman" w:hAnsi="Times New Roman" w:cs="Times New Roman"/>
          <w:sz w:val="24"/>
          <w:szCs w:val="24"/>
        </w:rPr>
        <w:t>Agency Theory is the most widely applied framework in explaining the relationship between ESG pillars and tax avoidance</w:t>
      </w:r>
      <w:r w:rsidR="00A171FB" w:rsidRPr="00F428C4">
        <w:rPr>
          <w:rFonts w:ascii="Times New Roman" w:eastAsia="Times New Roman" w:hAnsi="Times New Roman" w:cs="Times New Roman"/>
          <w:sz w:val="24"/>
          <w:szCs w:val="24"/>
        </w:rPr>
        <w:t xml:space="preserve">. This dominance is highly consistent with the research focus on the Governance pillar, as Agency Theory inherently addresses the conflict of interest between management (agent) and shareholders (principal). In this context, tax avoidance practices can be viewed as a manifestation of agency conflicts or as an attempt by management to </w:t>
      </w:r>
      <w:r w:rsidR="00275AB2" w:rsidRPr="00F428C4">
        <w:rPr>
          <w:rFonts w:ascii="Times New Roman" w:eastAsia="Times New Roman" w:hAnsi="Times New Roman" w:cs="Times New Roman"/>
          <w:sz w:val="24"/>
          <w:szCs w:val="24"/>
        </w:rPr>
        <w:t>maximize</w:t>
      </w:r>
      <w:r w:rsidR="00A171FB" w:rsidRPr="00F428C4">
        <w:rPr>
          <w:rFonts w:ascii="Times New Roman" w:eastAsia="Times New Roman" w:hAnsi="Times New Roman" w:cs="Times New Roman"/>
          <w:sz w:val="24"/>
          <w:szCs w:val="24"/>
        </w:rPr>
        <w:t xml:space="preserve"> </w:t>
      </w:r>
      <w:r w:rsidR="00CF2ACB" w:rsidRPr="00F428C4">
        <w:rPr>
          <w:rFonts w:ascii="Times New Roman" w:eastAsia="Times New Roman" w:hAnsi="Times New Roman" w:cs="Times New Roman"/>
          <w:sz w:val="24"/>
          <w:szCs w:val="24"/>
        </w:rPr>
        <w:t>its</w:t>
      </w:r>
      <w:r w:rsidR="00A171FB" w:rsidRPr="00F428C4">
        <w:rPr>
          <w:rFonts w:ascii="Times New Roman" w:eastAsia="Times New Roman" w:hAnsi="Times New Roman" w:cs="Times New Roman"/>
          <w:sz w:val="24"/>
          <w:szCs w:val="24"/>
        </w:rPr>
        <w:t xml:space="preserve"> own interests. Governance p</w:t>
      </w:r>
      <w:r w:rsidR="00A37438" w:rsidRPr="00F428C4">
        <w:rPr>
          <w:rFonts w:ascii="Times New Roman" w:eastAsia="Times New Roman" w:hAnsi="Times New Roman" w:cs="Times New Roman"/>
          <w:sz w:val="24"/>
          <w:szCs w:val="24"/>
        </w:rPr>
        <w:t>roxies</w:t>
      </w:r>
      <w:r w:rsidR="00CF2ACB" w:rsidRPr="00F428C4">
        <w:rPr>
          <w:rFonts w:ascii="Times New Roman" w:eastAsia="Times New Roman" w:hAnsi="Times New Roman" w:cs="Times New Roman"/>
          <w:sz w:val="24"/>
          <w:szCs w:val="24"/>
        </w:rPr>
        <w:t>,</w:t>
      </w:r>
      <w:r w:rsidR="00A171FB" w:rsidRPr="00F428C4">
        <w:rPr>
          <w:rFonts w:ascii="Times New Roman" w:eastAsia="Times New Roman" w:hAnsi="Times New Roman" w:cs="Times New Roman"/>
          <w:sz w:val="24"/>
          <w:szCs w:val="24"/>
        </w:rPr>
        <w:t xml:space="preserve"> such as audit committees or institutional ownership, are often </w:t>
      </w:r>
      <w:r w:rsidR="00275AB2" w:rsidRPr="00F428C4">
        <w:rPr>
          <w:rFonts w:ascii="Times New Roman" w:eastAsia="Times New Roman" w:hAnsi="Times New Roman" w:cs="Times New Roman"/>
          <w:sz w:val="24"/>
          <w:szCs w:val="24"/>
        </w:rPr>
        <w:t>hypothesized</w:t>
      </w:r>
      <w:r w:rsidR="00A171FB" w:rsidRPr="00F428C4">
        <w:rPr>
          <w:rFonts w:ascii="Times New Roman" w:eastAsia="Times New Roman" w:hAnsi="Times New Roman" w:cs="Times New Roman"/>
          <w:sz w:val="24"/>
          <w:szCs w:val="24"/>
        </w:rPr>
        <w:t xml:space="preserve"> as mechanisms to mitigate this conflict.</w:t>
      </w:r>
    </w:p>
    <w:p w14:paraId="7E218E63" w14:textId="3E29173A" w:rsidR="00A171FB" w:rsidRPr="00571887" w:rsidRDefault="00A171FB" w:rsidP="00F428C4">
      <w:pPr>
        <w:spacing w:after="0"/>
        <w:ind w:firstLine="426"/>
        <w:contextualSpacing/>
        <w:jc w:val="both"/>
        <w:rPr>
          <w:rFonts w:ascii="Times New Roman" w:hAnsi="Times New Roman" w:cs="Times New Roman"/>
          <w:sz w:val="24"/>
          <w:szCs w:val="24"/>
        </w:rPr>
      </w:pPr>
      <w:r w:rsidRPr="00571887">
        <w:rPr>
          <w:rFonts w:ascii="Times New Roman" w:hAnsi="Times New Roman" w:cs="Times New Roman"/>
          <w:sz w:val="24"/>
          <w:szCs w:val="24"/>
        </w:rPr>
        <w:t>Other theories</w:t>
      </w:r>
      <w:r w:rsidR="00CF2ACB" w:rsidRPr="00571887">
        <w:rPr>
          <w:rFonts w:ascii="Times New Roman" w:hAnsi="Times New Roman" w:cs="Times New Roman"/>
          <w:sz w:val="24"/>
          <w:szCs w:val="24"/>
        </w:rPr>
        <w:t>,</w:t>
      </w:r>
      <w:r w:rsidRPr="00571887">
        <w:rPr>
          <w:rFonts w:ascii="Times New Roman" w:hAnsi="Times New Roman" w:cs="Times New Roman"/>
          <w:sz w:val="24"/>
          <w:szCs w:val="24"/>
        </w:rPr>
        <w:t xml:space="preserve"> such as Legitimacy Theory and Stakeholder Theory</w:t>
      </w:r>
      <w:r w:rsidR="00CF2ACB" w:rsidRPr="00571887">
        <w:rPr>
          <w:rFonts w:ascii="Times New Roman" w:hAnsi="Times New Roman" w:cs="Times New Roman"/>
          <w:sz w:val="24"/>
          <w:szCs w:val="24"/>
        </w:rPr>
        <w:t>,</w:t>
      </w:r>
      <w:r w:rsidRPr="00571887">
        <w:rPr>
          <w:rFonts w:ascii="Times New Roman" w:hAnsi="Times New Roman" w:cs="Times New Roman"/>
          <w:sz w:val="24"/>
          <w:szCs w:val="24"/>
        </w:rPr>
        <w:t xml:space="preserve"> are also used quite frequently. In the ESG context, ESG disclosures and practices can be a means to achieve legitimacy</w:t>
      </w:r>
      <w:r w:rsidR="00301863" w:rsidRPr="00571887">
        <w:rPr>
          <w:rFonts w:ascii="Times New Roman" w:hAnsi="Times New Roman" w:cs="Times New Roman"/>
          <w:sz w:val="24"/>
          <w:szCs w:val="24"/>
        </w:rPr>
        <w:t xml:space="preserve"> </w:t>
      </w:r>
      <w:hyperlink w:anchor="Baldini" w:history="1">
        <w:r w:rsidR="00301863" w:rsidRPr="00571887">
          <w:rPr>
            <w:rStyle w:val="Hyperlink"/>
            <w:rFonts w:ascii="Times New Roman" w:hAnsi="Times New Roman" w:cs="Times New Roman"/>
            <w:sz w:val="24"/>
            <w:szCs w:val="24"/>
            <w:u w:val="none"/>
          </w:rPr>
          <w:fldChar w:fldCharType="begin" w:fldLock="1"/>
        </w:r>
        <w:r w:rsidR="00301863" w:rsidRPr="00571887">
          <w:rPr>
            <w:rStyle w:val="Hyperlink"/>
            <w:rFonts w:ascii="Times New Roman" w:hAnsi="Times New Roman" w:cs="Times New Roman"/>
            <w:sz w:val="24"/>
            <w:szCs w:val="24"/>
            <w:u w:val="none"/>
          </w:rPr>
          <w:instrText>ADDIN CSL_CITATION {"citationItems":[{"id":"ITEM-1","itemData":{"DOI":"10.1007/s10551-016-3139-1","ISSN":"15730697","abstract":"In recent years, companies receive pressure to release environmental, social, and governance (ESG) disclosure, since these are perceived as critical issues by society. Despite this pressure, ESG disclosure practices considerably vary by firm. Prior academic literature investigated country- and firm-level factors determining such variation, alternatively adopting the institutional and legitimacy theory. By combining these theories in a unique framework, this study investigates the extent to which social structures (i.e., institutional theory) and social legitimization (i.e., legitimacy theory) influence ESG disclosure practices and each pillar. Results obtained using a cross-country sample of 14,174 firm-year observations during 2005–2012 provide evidence that country-level characteristics such as a political system (legal framework and corruption), labor system (labor protection and unemployment rate), and cultural system (Social Cohesion and Equal Opportunities) significantly affect firms’ ESG disclosure practices. However, their impact is heterogeneous in that they either reduce or enhance disclosure levels and may differ by pillar. Results for firm-level characteristics related to a firm’s visibility (analysts coverage, cross-listing, leverage, and size) demonstrate a positive and homogeneous effect on ESG disclosure and each pillar. These results inform policy makers and regulators aiming to enhance ESG disclosure levels of the risk they incur when managing variables related to social structure and the benefits of exposing firms to higher visibility.","author":[{"dropping-particle":"","family":"Baldini","given":"Maria","non-dropping-particle":"","parse-names":false,"suffix":""},{"dropping-particle":"","family":"Maso","given":"Lorenzo Dal","non-dropping-particle":"","parse-names":false,"suffix":""},{"dropping-particle":"","family":"Liberatore","given":"Giovanni","non-dropping-particle":"","parse-names":false,"suffix":""},{"dropping-particle":"","family":"Mazzi","given":"Francesco","non-dropping-particle":"","parse-names":false,"suffix":""},{"dropping-particle":"","family":"Terzani","given":"Simone","non-dropping-particle":"","parse-names":false,"suffix":""}],"container-title":"Journal of Business Ethics","id":"ITEM-1","issue":"1","issued":{"date-parts":[["2018"]]},"page":"79-98","publisher":"Springer Netherlands","title":"Role of Country- and Firm-Level Determinants in Environmental, Social, and Governance Disclosure","type":"article-journal","volume":"150"},"uris":["http://www.mendeley.com/documents/?uuid=ff3a54d3-2d9c-4770-bff0-d2f711079736"]}],"mendeley":{"formattedCitation":"(Baldini et al., 2018)","plainTextFormattedCitation":"(Baldini et al., 2018)","previouslyFormattedCitation":"(Baldini et al., 2018)"},"properties":{"noteIndex":0},"schema":"https://github.com/citation-style-language/schema/raw/master/csl-citation.json"}</w:instrText>
        </w:r>
        <w:r w:rsidR="00301863" w:rsidRPr="00571887">
          <w:rPr>
            <w:rStyle w:val="Hyperlink"/>
            <w:rFonts w:ascii="Times New Roman" w:hAnsi="Times New Roman" w:cs="Times New Roman"/>
            <w:sz w:val="24"/>
            <w:szCs w:val="24"/>
            <w:u w:val="none"/>
          </w:rPr>
          <w:fldChar w:fldCharType="separate"/>
        </w:r>
        <w:r w:rsidR="00301863" w:rsidRPr="00571887">
          <w:rPr>
            <w:rStyle w:val="Hyperlink"/>
            <w:rFonts w:ascii="Times New Roman" w:hAnsi="Times New Roman" w:cs="Times New Roman"/>
            <w:noProof/>
            <w:sz w:val="24"/>
            <w:szCs w:val="24"/>
            <w:u w:val="none"/>
          </w:rPr>
          <w:t>(Baldini et al., 2018)</w:t>
        </w:r>
        <w:r w:rsidR="00301863" w:rsidRPr="00571887">
          <w:rPr>
            <w:rStyle w:val="Hyperlink"/>
            <w:rFonts w:ascii="Times New Roman" w:hAnsi="Times New Roman" w:cs="Times New Roman"/>
            <w:sz w:val="24"/>
            <w:szCs w:val="24"/>
            <w:u w:val="none"/>
          </w:rPr>
          <w:fldChar w:fldCharType="end"/>
        </w:r>
      </w:hyperlink>
      <w:r w:rsidRPr="00571887">
        <w:rPr>
          <w:rFonts w:ascii="Times New Roman" w:hAnsi="Times New Roman" w:cs="Times New Roman"/>
          <w:sz w:val="24"/>
          <w:szCs w:val="24"/>
        </w:rPr>
        <w:t xml:space="preserve">, which in turn can influence tax avoidance decisions. Meanwhile, </w:t>
      </w:r>
      <w:r w:rsidR="00CF2ACB" w:rsidRPr="00571887">
        <w:rPr>
          <w:rFonts w:ascii="Times New Roman" w:hAnsi="Times New Roman" w:cs="Times New Roman"/>
          <w:sz w:val="24"/>
          <w:szCs w:val="24"/>
        </w:rPr>
        <w:t>stakeholder theory</w:t>
      </w:r>
      <w:r w:rsidRPr="00571887">
        <w:rPr>
          <w:rFonts w:ascii="Times New Roman" w:hAnsi="Times New Roman" w:cs="Times New Roman"/>
          <w:sz w:val="24"/>
          <w:szCs w:val="24"/>
        </w:rPr>
        <w:t xml:space="preserve"> </w:t>
      </w:r>
      <w:r w:rsidR="00275AB2" w:rsidRPr="00571887">
        <w:rPr>
          <w:rFonts w:ascii="Times New Roman" w:hAnsi="Times New Roman" w:cs="Times New Roman"/>
          <w:sz w:val="24"/>
          <w:szCs w:val="24"/>
        </w:rPr>
        <w:t>emphasizes</w:t>
      </w:r>
      <w:r w:rsidRPr="00571887">
        <w:rPr>
          <w:rFonts w:ascii="Times New Roman" w:hAnsi="Times New Roman" w:cs="Times New Roman"/>
          <w:sz w:val="24"/>
          <w:szCs w:val="24"/>
        </w:rPr>
        <w:t xml:space="preserve"> that companies have a broader responsibility than just </w:t>
      </w:r>
      <w:r w:rsidR="00275AB2" w:rsidRPr="00571887">
        <w:rPr>
          <w:rFonts w:ascii="Times New Roman" w:hAnsi="Times New Roman" w:cs="Times New Roman"/>
          <w:sz w:val="24"/>
          <w:szCs w:val="24"/>
        </w:rPr>
        <w:t>maximizing</w:t>
      </w:r>
      <w:r w:rsidRPr="00571887">
        <w:rPr>
          <w:rFonts w:ascii="Times New Roman" w:hAnsi="Times New Roman" w:cs="Times New Roman"/>
          <w:sz w:val="24"/>
          <w:szCs w:val="24"/>
        </w:rPr>
        <w:t xml:space="preserve"> shareholder profits</w:t>
      </w:r>
      <w:r w:rsidR="00CF2ACB" w:rsidRPr="00571887">
        <w:rPr>
          <w:rFonts w:ascii="Times New Roman" w:hAnsi="Times New Roman" w:cs="Times New Roman"/>
          <w:sz w:val="24"/>
          <w:szCs w:val="24"/>
        </w:rPr>
        <w:t>;</w:t>
      </w:r>
      <w:r w:rsidRPr="00571887">
        <w:rPr>
          <w:rFonts w:ascii="Times New Roman" w:hAnsi="Times New Roman" w:cs="Times New Roman"/>
          <w:sz w:val="24"/>
          <w:szCs w:val="24"/>
        </w:rPr>
        <w:t xml:space="preserve"> </w:t>
      </w:r>
      <w:r w:rsidR="00CF2ACB" w:rsidRPr="00571887">
        <w:rPr>
          <w:rFonts w:ascii="Times New Roman" w:hAnsi="Times New Roman" w:cs="Times New Roman"/>
          <w:sz w:val="24"/>
          <w:szCs w:val="24"/>
        </w:rPr>
        <w:t>they</w:t>
      </w:r>
      <w:r w:rsidRPr="00571887">
        <w:rPr>
          <w:rFonts w:ascii="Times New Roman" w:hAnsi="Times New Roman" w:cs="Times New Roman"/>
          <w:sz w:val="24"/>
          <w:szCs w:val="24"/>
        </w:rPr>
        <w:t xml:space="preserve"> must also consider the interests of various stakeholders, which can encourage more compliant and ethical tax </w:t>
      </w:r>
      <w:r w:rsidR="00275AB2" w:rsidRPr="00571887">
        <w:rPr>
          <w:rFonts w:ascii="Times New Roman" w:hAnsi="Times New Roman" w:cs="Times New Roman"/>
          <w:sz w:val="24"/>
          <w:szCs w:val="24"/>
        </w:rPr>
        <w:t>behavior</w:t>
      </w:r>
      <w:r w:rsidRPr="00571887">
        <w:rPr>
          <w:rFonts w:ascii="Times New Roman" w:hAnsi="Times New Roman" w:cs="Times New Roman"/>
          <w:sz w:val="24"/>
          <w:szCs w:val="24"/>
        </w:rPr>
        <w:t xml:space="preserve">. </w:t>
      </w:r>
      <w:r w:rsidR="00603AA3" w:rsidRPr="00571887">
        <w:rPr>
          <w:rFonts w:ascii="Times New Roman" w:hAnsi="Times New Roman" w:cs="Times New Roman"/>
          <w:sz w:val="24"/>
          <w:szCs w:val="24"/>
        </w:rPr>
        <w:t>In this context</w:t>
      </w:r>
      <w:r w:rsidR="007E43BF" w:rsidRPr="00571887">
        <w:rPr>
          <w:rFonts w:ascii="Times New Roman" w:hAnsi="Times New Roman" w:cs="Times New Roman"/>
          <w:sz w:val="24"/>
          <w:szCs w:val="24"/>
        </w:rPr>
        <w:t>,</w:t>
      </w:r>
      <w:r w:rsidR="00603AA3" w:rsidRPr="00571887">
        <w:rPr>
          <w:rFonts w:ascii="Times New Roman" w:hAnsi="Times New Roman" w:cs="Times New Roman"/>
          <w:sz w:val="24"/>
          <w:szCs w:val="24"/>
        </w:rPr>
        <w:t xml:space="preserve"> companies will understand that paying taxes contributes to national development and the welfare of society</w:t>
      </w:r>
      <w:r w:rsidR="00301863" w:rsidRPr="00571887">
        <w:rPr>
          <w:rFonts w:ascii="Times New Roman" w:hAnsi="Times New Roman" w:cs="Times New Roman"/>
          <w:sz w:val="24"/>
          <w:szCs w:val="24"/>
        </w:rPr>
        <w:t xml:space="preserve"> </w:t>
      </w:r>
      <w:hyperlink w:anchor="Nurwanah" w:history="1">
        <w:r w:rsidR="00301863" w:rsidRPr="00571887">
          <w:rPr>
            <w:rStyle w:val="Hyperlink"/>
            <w:rFonts w:ascii="Times New Roman" w:hAnsi="Times New Roman" w:cs="Times New Roman"/>
            <w:sz w:val="24"/>
            <w:szCs w:val="24"/>
            <w:u w:val="none"/>
          </w:rPr>
          <w:fldChar w:fldCharType="begin" w:fldLock="1"/>
        </w:r>
        <w:r w:rsidR="00301863" w:rsidRPr="00571887">
          <w:rPr>
            <w:rStyle w:val="Hyperlink"/>
            <w:rFonts w:ascii="Times New Roman" w:hAnsi="Times New Roman" w:cs="Times New Roman"/>
            <w:sz w:val="24"/>
            <w:szCs w:val="24"/>
            <w:u w:val="none"/>
          </w:rPr>
          <w:instrText>ADDIN CSL_CITATION {"citationItems":[{"id":"ITEM-1","itemData":{"DOI":"10.21511/ppm.16(4).2018.33","ISBN":"0000000280","ISSN":"18105467","abstract":"The purpose of this research is to analyze and elaborate determinants of tax compliance in the perspective of the theory of planned behavior and stakeholder theory. This research is conducted on a population consisting of corporate taxpayers registered at the Directorate General of Taxes in the region of South Sulawesi. This research uses proportional random sampling to determine the samples. There are 560 respondents out of 1,000 exemplars of distributed questionnaires who are willing to participate. The analysis is conducted by using Partial Least Square (PLS). The result reveals that the behavior of the taxpayers has a positive and significant effect on the intention to tax compliance. The establishment of tax professional behavior to comply can encourage positive behavior of taxpayers, thus, the welfare of the society can be achieved. Subjective norm has a positive and significant effect on the intention to tax compliance. This research focuses on corporate taxpayers; hence, the researchers add social awareness based on stakeholder theory. This research depicts corporate taxpayers as entity that mingles with the society. Therefore, social awareness and cultural adaptation with the social environment through tax payment is a must.","author":[{"dropping-particle":"","family":"Nurwanah","given":"Andi","non-dropping-particle":"","parse-names":false,"suffix":""},{"dropping-particle":"","family":"Sutrisno","given":"T.","non-dropping-particle":"","parse-names":false,"suffix":""},{"dropping-particle":"","family":"Rosidi","given":"Rosidi","non-dropping-particle":"","parse-names":false,"suffix":""},{"dropping-particle":"","family":"Roekhudin","given":"Roekhudin","non-dropping-particle":"","parse-names":false,"suffix":""}],"container-title":"Problems and Perspectives in Management","id":"ITEM-1","issue":"4","issued":{"date-parts":[["2018"]]},"page":"395-407","title":"Determinants of tax compliance: Theory of planned behavior and stakeholder theory perspective","type":"article-journal","volume":"16"},"uris":["http://www.mendeley.com/documents/?uuid=cafe53cb-b829-4f0b-b961-1beab341fd41"]}],"mendeley":{"formattedCitation":"(Nurwanah et al., 2018)","plainTextFormattedCitation":"(Nurwanah et al., 2018)","previouslyFormattedCitation":"(Nurwanah et al., 2018)"},"properties":{"noteIndex":0},"schema":"https://github.com/citation-style-language/schema/raw/master/csl-citation.json"}</w:instrText>
        </w:r>
        <w:r w:rsidR="00301863" w:rsidRPr="00571887">
          <w:rPr>
            <w:rStyle w:val="Hyperlink"/>
            <w:rFonts w:ascii="Times New Roman" w:hAnsi="Times New Roman" w:cs="Times New Roman"/>
            <w:sz w:val="24"/>
            <w:szCs w:val="24"/>
            <w:u w:val="none"/>
          </w:rPr>
          <w:fldChar w:fldCharType="separate"/>
        </w:r>
        <w:r w:rsidR="00301863" w:rsidRPr="00571887">
          <w:rPr>
            <w:rStyle w:val="Hyperlink"/>
            <w:rFonts w:ascii="Times New Roman" w:hAnsi="Times New Roman" w:cs="Times New Roman"/>
            <w:noProof/>
            <w:sz w:val="24"/>
            <w:szCs w:val="24"/>
            <w:u w:val="none"/>
          </w:rPr>
          <w:t>(Nurwanah et al., 2018)</w:t>
        </w:r>
        <w:r w:rsidR="00301863" w:rsidRPr="00571887">
          <w:rPr>
            <w:rStyle w:val="Hyperlink"/>
            <w:rFonts w:ascii="Times New Roman" w:hAnsi="Times New Roman" w:cs="Times New Roman"/>
            <w:sz w:val="24"/>
            <w:szCs w:val="24"/>
            <w:u w:val="none"/>
          </w:rPr>
          <w:fldChar w:fldCharType="end"/>
        </w:r>
      </w:hyperlink>
      <w:r w:rsidR="00603AA3" w:rsidRPr="00571887">
        <w:rPr>
          <w:rFonts w:ascii="Times New Roman" w:hAnsi="Times New Roman" w:cs="Times New Roman"/>
          <w:sz w:val="24"/>
          <w:szCs w:val="24"/>
        </w:rPr>
        <w:t xml:space="preserve">. </w:t>
      </w:r>
      <w:r w:rsidRPr="00571887">
        <w:rPr>
          <w:rFonts w:ascii="Times New Roman" w:hAnsi="Times New Roman" w:cs="Times New Roman"/>
          <w:sz w:val="24"/>
          <w:szCs w:val="24"/>
        </w:rPr>
        <w:t xml:space="preserve">These theories </w:t>
      </w:r>
      <w:r w:rsidR="009A08C3" w:rsidRPr="00571887">
        <w:rPr>
          <w:rFonts w:ascii="Times New Roman" w:hAnsi="Times New Roman" w:cs="Times New Roman"/>
          <w:sz w:val="24"/>
          <w:szCs w:val="24"/>
        </w:rPr>
        <w:t>are</w:t>
      </w:r>
      <w:r w:rsidRPr="00571887">
        <w:rPr>
          <w:rFonts w:ascii="Times New Roman" w:hAnsi="Times New Roman" w:cs="Times New Roman"/>
          <w:sz w:val="24"/>
          <w:szCs w:val="24"/>
        </w:rPr>
        <w:t xml:space="preserve"> relevant for explaining the Social and Environmental pillars of ESG.</w:t>
      </w:r>
    </w:p>
    <w:p w14:paraId="4AAC8B05" w14:textId="686077B4" w:rsidR="00FA5873" w:rsidRPr="00571887" w:rsidRDefault="00A171FB" w:rsidP="00F428C4">
      <w:pPr>
        <w:spacing w:after="0"/>
        <w:ind w:firstLine="426"/>
        <w:contextualSpacing/>
        <w:jc w:val="both"/>
        <w:rPr>
          <w:rFonts w:ascii="Times New Roman" w:hAnsi="Times New Roman" w:cs="Times New Roman"/>
          <w:sz w:val="24"/>
          <w:szCs w:val="24"/>
        </w:rPr>
      </w:pPr>
      <w:r w:rsidRPr="00571887">
        <w:rPr>
          <w:rFonts w:ascii="Times New Roman" w:hAnsi="Times New Roman" w:cs="Times New Roman"/>
          <w:sz w:val="24"/>
          <w:szCs w:val="24"/>
        </w:rPr>
        <w:t>The presence of other theories with lower frequency (e.g., Trade-Off Theory, Political Power Theory, Upper Echelon Theory) indicates the diversity of theoretical perspectives used in related research. However, the dominance of Agency Theory once again confirms the strong research direction on the Governance aspect in the context of tax avoidance, hinting that agency conflict and its monitoring become the main lens in understanding this phenomenon in Indonesia.</w:t>
      </w:r>
    </w:p>
    <w:p w14:paraId="2C88BAD8" w14:textId="2547BD4B" w:rsidR="00FA5873" w:rsidRPr="002C008D" w:rsidRDefault="00A171FB" w:rsidP="00542793">
      <w:pPr>
        <w:spacing w:after="0"/>
        <w:contextualSpacing/>
        <w:jc w:val="both"/>
        <w:rPr>
          <w:rFonts w:ascii="Times New Roman" w:hAnsi="Times New Roman" w:cs="Times New Roman"/>
          <w:b/>
          <w:bCs/>
          <w:i/>
          <w:iCs/>
          <w:sz w:val="24"/>
          <w:szCs w:val="24"/>
        </w:rPr>
      </w:pPr>
      <w:r w:rsidRPr="002C008D">
        <w:rPr>
          <w:rFonts w:ascii="Times New Roman" w:hAnsi="Times New Roman" w:cs="Times New Roman"/>
          <w:b/>
          <w:bCs/>
          <w:i/>
          <w:sz w:val="24"/>
          <w:szCs w:val="24"/>
        </w:rPr>
        <w:t>Classification Based on Tax Avoidance Measures</w:t>
      </w:r>
    </w:p>
    <w:p w14:paraId="7ADD9DB5" w14:textId="579AF18E" w:rsidR="00FA5873" w:rsidRPr="0099292E" w:rsidRDefault="00A171FB" w:rsidP="00542793">
      <w:pPr>
        <w:spacing w:after="0"/>
        <w:ind w:firstLine="426"/>
        <w:contextualSpacing/>
        <w:jc w:val="both"/>
        <w:rPr>
          <w:rFonts w:ascii="Times New Roman" w:hAnsi="Times New Roman" w:cs="Times New Roman"/>
          <w:sz w:val="24"/>
          <w:szCs w:val="24"/>
        </w:rPr>
      </w:pPr>
      <w:r w:rsidRPr="0099292E">
        <w:rPr>
          <w:rFonts w:ascii="Times New Roman" w:hAnsi="Times New Roman" w:cs="Times New Roman"/>
          <w:sz w:val="24"/>
          <w:szCs w:val="24"/>
        </w:rPr>
        <w:t xml:space="preserve">A wide variety of tax avoidance measures were used in the study. Table </w:t>
      </w:r>
      <w:r w:rsidR="001F50EF" w:rsidRPr="0099292E">
        <w:rPr>
          <w:rFonts w:ascii="Times New Roman" w:hAnsi="Times New Roman" w:cs="Times New Roman"/>
          <w:sz w:val="24"/>
          <w:szCs w:val="24"/>
        </w:rPr>
        <w:t>6</w:t>
      </w:r>
      <w:r w:rsidRPr="0099292E">
        <w:rPr>
          <w:rFonts w:ascii="Times New Roman" w:hAnsi="Times New Roman" w:cs="Times New Roman"/>
          <w:sz w:val="24"/>
          <w:szCs w:val="24"/>
        </w:rPr>
        <w:t xml:space="preserve"> shows what measures are used in the articles studied.</w:t>
      </w:r>
    </w:p>
    <w:p w14:paraId="1E2190C6" w14:textId="77777777" w:rsidR="00A171FB" w:rsidRPr="0099292E" w:rsidRDefault="00A171FB" w:rsidP="00542793">
      <w:pPr>
        <w:spacing w:after="0"/>
        <w:ind w:firstLine="426"/>
        <w:contextualSpacing/>
        <w:jc w:val="both"/>
        <w:rPr>
          <w:rFonts w:ascii="Times New Roman" w:eastAsia="Times New Roman" w:hAnsi="Times New Roman" w:cs="Times New Roman"/>
          <w:sz w:val="24"/>
          <w:szCs w:val="24"/>
        </w:rPr>
      </w:pPr>
    </w:p>
    <w:p w14:paraId="1BC7F203" w14:textId="2287BC29" w:rsidR="00E94BCA" w:rsidRPr="00CF4787" w:rsidRDefault="00E94BCA" w:rsidP="00542793">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CF4787">
        <w:rPr>
          <w:rFonts w:ascii="Times New Roman" w:hAnsi="Times New Roman" w:cs="Times New Roman"/>
          <w:b/>
          <w:bCs/>
          <w:i w:val="0"/>
          <w:iCs w:val="0"/>
          <w:color w:val="000000" w:themeColor="text1"/>
          <w:sz w:val="24"/>
          <w:szCs w:val="24"/>
        </w:rPr>
        <w:t>Tabl</w:t>
      </w:r>
      <w:r w:rsidR="00A171FB" w:rsidRPr="00CF4787">
        <w:rPr>
          <w:rFonts w:ascii="Times New Roman" w:hAnsi="Times New Roman" w:cs="Times New Roman"/>
          <w:b/>
          <w:bCs/>
          <w:i w:val="0"/>
          <w:iCs w:val="0"/>
          <w:color w:val="000000" w:themeColor="text1"/>
          <w:sz w:val="24"/>
          <w:szCs w:val="24"/>
        </w:rPr>
        <w:t>e</w:t>
      </w:r>
      <w:r w:rsidRPr="00CF4787">
        <w:rPr>
          <w:rFonts w:ascii="Times New Roman" w:hAnsi="Times New Roman" w:cs="Times New Roman"/>
          <w:b/>
          <w:bCs/>
          <w:i w:val="0"/>
          <w:iCs w:val="0"/>
          <w:color w:val="000000" w:themeColor="text1"/>
          <w:sz w:val="24"/>
          <w:szCs w:val="24"/>
        </w:rPr>
        <w:t xml:space="preserve"> </w:t>
      </w:r>
      <w:r w:rsidR="001F50EF" w:rsidRPr="00CF4787">
        <w:rPr>
          <w:rFonts w:ascii="Times New Roman" w:hAnsi="Times New Roman" w:cs="Times New Roman"/>
          <w:b/>
          <w:bCs/>
          <w:i w:val="0"/>
          <w:iCs w:val="0"/>
          <w:color w:val="000000" w:themeColor="text1"/>
          <w:sz w:val="24"/>
          <w:szCs w:val="24"/>
        </w:rPr>
        <w:t>6</w:t>
      </w:r>
      <w:r w:rsidRPr="00CF4787">
        <w:rPr>
          <w:rFonts w:ascii="Times New Roman" w:hAnsi="Times New Roman" w:cs="Times New Roman"/>
          <w:b/>
          <w:bCs/>
          <w:i w:val="0"/>
          <w:iCs w:val="0"/>
          <w:color w:val="000000" w:themeColor="text1"/>
          <w:sz w:val="24"/>
          <w:szCs w:val="24"/>
        </w:rPr>
        <w:t xml:space="preserve">. </w:t>
      </w:r>
      <w:r w:rsidR="00A171FB" w:rsidRPr="00CF4787">
        <w:rPr>
          <w:rFonts w:ascii="Times New Roman" w:hAnsi="Times New Roman" w:cs="Times New Roman"/>
          <w:b/>
          <w:bCs/>
          <w:i w:val="0"/>
          <w:iCs w:val="0"/>
          <w:color w:val="000000" w:themeColor="text1"/>
          <w:sz w:val="24"/>
          <w:szCs w:val="24"/>
        </w:rPr>
        <w:t>Number of Articles Based on Tax Avoidance Measures</w:t>
      </w:r>
    </w:p>
    <w:tbl>
      <w:tblPr>
        <w:tblStyle w:val="PlainTable21"/>
        <w:tblW w:w="4941" w:type="pct"/>
        <w:tblLayout w:type="fixed"/>
        <w:tblLook w:val="04A0" w:firstRow="1" w:lastRow="0" w:firstColumn="1" w:lastColumn="0" w:noHBand="0" w:noVBand="1"/>
      </w:tblPr>
      <w:tblGrid>
        <w:gridCol w:w="5639"/>
        <w:gridCol w:w="1285"/>
        <w:gridCol w:w="1973"/>
      </w:tblGrid>
      <w:tr w:rsidR="001A7E13" w:rsidRPr="00CF4787" w14:paraId="539F03A1" w14:textId="77777777" w:rsidTr="00357B5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68" w:type="pct"/>
            <w:noWrap/>
            <w:vAlign w:val="center"/>
            <w:hideMark/>
          </w:tcPr>
          <w:p w14:paraId="56DBB53F" w14:textId="16C21180" w:rsidR="001A7E13" w:rsidRPr="00CF4787" w:rsidRDefault="001A7E13" w:rsidP="00357B5D">
            <w:pPr>
              <w:rPr>
                <w:rFonts w:ascii="Times New Roman" w:eastAsia="Times New Roman" w:hAnsi="Times New Roman" w:cs="Times New Roman"/>
                <w:color w:val="000000"/>
                <w:sz w:val="24"/>
                <w:szCs w:val="24"/>
              </w:rPr>
            </w:pPr>
            <w:r w:rsidRPr="00CF4787">
              <w:rPr>
                <w:rFonts w:ascii="Times New Roman" w:eastAsia="Times New Roman" w:hAnsi="Times New Roman" w:cs="Times New Roman"/>
                <w:color w:val="000000"/>
                <w:sz w:val="24"/>
                <w:szCs w:val="24"/>
              </w:rPr>
              <w:t>Type of Tax Avoidance Measure</w:t>
            </w:r>
          </w:p>
        </w:tc>
        <w:tc>
          <w:tcPr>
            <w:tcW w:w="722" w:type="pct"/>
            <w:noWrap/>
            <w:vAlign w:val="center"/>
            <w:hideMark/>
          </w:tcPr>
          <w:p w14:paraId="45C5092E" w14:textId="0670D33F" w:rsidR="001A7E13" w:rsidRPr="00CF4787" w:rsidRDefault="001A7E13" w:rsidP="00357B5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F4787">
              <w:rPr>
                <w:rFonts w:ascii="Times New Roman" w:eastAsia="Times New Roman" w:hAnsi="Times New Roman" w:cs="Times New Roman"/>
                <w:color w:val="000000"/>
                <w:sz w:val="24"/>
                <w:szCs w:val="24"/>
              </w:rPr>
              <w:t>Number of Articles</w:t>
            </w:r>
          </w:p>
        </w:tc>
        <w:tc>
          <w:tcPr>
            <w:tcW w:w="1109" w:type="pct"/>
            <w:noWrap/>
            <w:vAlign w:val="center"/>
            <w:hideMark/>
          </w:tcPr>
          <w:p w14:paraId="32FDF4A4" w14:textId="221B8B9E" w:rsidR="001A7E13" w:rsidRPr="00CF4787" w:rsidRDefault="001A7E13" w:rsidP="00357B5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F4787">
              <w:rPr>
                <w:rFonts w:ascii="Times New Roman" w:eastAsia="Times New Roman" w:hAnsi="Times New Roman" w:cs="Times New Roman"/>
                <w:color w:val="000000"/>
                <w:sz w:val="24"/>
                <w:szCs w:val="24"/>
              </w:rPr>
              <w:t>Percentage</w:t>
            </w:r>
          </w:p>
        </w:tc>
      </w:tr>
      <w:tr w:rsidR="0027268A" w:rsidRPr="0099292E" w14:paraId="0C78C829"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68" w:type="pct"/>
            <w:tcBorders>
              <w:bottom w:val="nil"/>
            </w:tcBorders>
            <w:noWrap/>
            <w:hideMark/>
          </w:tcPr>
          <w:p w14:paraId="165B1F57" w14:textId="39BEC4F1" w:rsidR="0027268A" w:rsidRPr="0099292E" w:rsidRDefault="0027268A" w:rsidP="0027268A">
            <w:pPr>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Effective Tax Rate</w:t>
            </w:r>
            <w:r w:rsidR="00927937" w:rsidRPr="0099292E">
              <w:rPr>
                <w:rFonts w:ascii="Times New Roman" w:eastAsia="Times New Roman" w:hAnsi="Times New Roman" w:cs="Times New Roman"/>
                <w:b w:val="0"/>
                <w:bCs w:val="0"/>
                <w:color w:val="000000"/>
              </w:rPr>
              <w:t xml:space="preserve"> (ETR)</w:t>
            </w:r>
          </w:p>
        </w:tc>
        <w:tc>
          <w:tcPr>
            <w:tcW w:w="722" w:type="pct"/>
            <w:tcBorders>
              <w:bottom w:val="nil"/>
            </w:tcBorders>
            <w:noWrap/>
            <w:hideMark/>
          </w:tcPr>
          <w:p w14:paraId="40CE1D01" w14:textId="77777777" w:rsidR="0027268A" w:rsidRPr="0099292E" w:rsidRDefault="0027268A" w:rsidP="00357B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38</w:t>
            </w:r>
          </w:p>
        </w:tc>
        <w:tc>
          <w:tcPr>
            <w:tcW w:w="1109" w:type="pct"/>
            <w:tcBorders>
              <w:bottom w:val="nil"/>
            </w:tcBorders>
            <w:noWrap/>
            <w:hideMark/>
          </w:tcPr>
          <w:p w14:paraId="3E3B8562" w14:textId="5826B667" w:rsidR="0027268A" w:rsidRPr="0099292E" w:rsidRDefault="0027268A" w:rsidP="00357B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56</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72%</w:t>
            </w:r>
          </w:p>
        </w:tc>
      </w:tr>
      <w:tr w:rsidR="0027268A" w:rsidRPr="0099292E" w14:paraId="3C34D5EB"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3168" w:type="pct"/>
            <w:tcBorders>
              <w:top w:val="nil"/>
              <w:bottom w:val="nil"/>
            </w:tcBorders>
            <w:noWrap/>
            <w:hideMark/>
          </w:tcPr>
          <w:p w14:paraId="10A39248" w14:textId="6027CD81" w:rsidR="0027268A" w:rsidRPr="0099292E" w:rsidRDefault="0027268A" w:rsidP="0027268A">
            <w:pPr>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Cash Effective Tax Rate</w:t>
            </w:r>
            <w:r w:rsidR="00927937" w:rsidRPr="0099292E">
              <w:rPr>
                <w:rFonts w:ascii="Times New Roman" w:eastAsia="Times New Roman" w:hAnsi="Times New Roman" w:cs="Times New Roman"/>
                <w:b w:val="0"/>
                <w:bCs w:val="0"/>
                <w:color w:val="000000"/>
              </w:rPr>
              <w:t xml:space="preserve"> (CETR0</w:t>
            </w:r>
          </w:p>
        </w:tc>
        <w:tc>
          <w:tcPr>
            <w:tcW w:w="722" w:type="pct"/>
            <w:tcBorders>
              <w:top w:val="nil"/>
              <w:bottom w:val="nil"/>
            </w:tcBorders>
            <w:noWrap/>
            <w:hideMark/>
          </w:tcPr>
          <w:p w14:paraId="6E2F8F46" w14:textId="77777777" w:rsidR="0027268A" w:rsidRPr="0099292E" w:rsidRDefault="0027268A" w:rsidP="00357B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18</w:t>
            </w:r>
          </w:p>
        </w:tc>
        <w:tc>
          <w:tcPr>
            <w:tcW w:w="1109" w:type="pct"/>
            <w:tcBorders>
              <w:top w:val="nil"/>
              <w:bottom w:val="nil"/>
            </w:tcBorders>
            <w:noWrap/>
            <w:hideMark/>
          </w:tcPr>
          <w:p w14:paraId="31985655" w14:textId="3E2C672C" w:rsidR="0027268A" w:rsidRPr="0099292E" w:rsidRDefault="0027268A" w:rsidP="00357B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26</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87%</w:t>
            </w:r>
          </w:p>
        </w:tc>
      </w:tr>
      <w:tr w:rsidR="0027268A" w:rsidRPr="0099292E" w14:paraId="261976D3"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68" w:type="pct"/>
            <w:tcBorders>
              <w:top w:val="nil"/>
              <w:bottom w:val="nil"/>
            </w:tcBorders>
            <w:noWrap/>
            <w:hideMark/>
          </w:tcPr>
          <w:p w14:paraId="51FF6672" w14:textId="2F119D7D" w:rsidR="0027268A" w:rsidRPr="0099292E" w:rsidRDefault="0027268A" w:rsidP="0027268A">
            <w:pPr>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Book Tax Differences</w:t>
            </w:r>
            <w:r w:rsidR="00927937" w:rsidRPr="0099292E">
              <w:rPr>
                <w:rFonts w:ascii="Times New Roman" w:eastAsia="Times New Roman" w:hAnsi="Times New Roman" w:cs="Times New Roman"/>
                <w:b w:val="0"/>
                <w:bCs w:val="0"/>
                <w:color w:val="000000"/>
              </w:rPr>
              <w:t xml:space="preserve"> (BTD)</w:t>
            </w:r>
          </w:p>
        </w:tc>
        <w:tc>
          <w:tcPr>
            <w:tcW w:w="722" w:type="pct"/>
            <w:tcBorders>
              <w:top w:val="nil"/>
              <w:bottom w:val="nil"/>
            </w:tcBorders>
            <w:noWrap/>
            <w:hideMark/>
          </w:tcPr>
          <w:p w14:paraId="4E0A0798" w14:textId="77777777" w:rsidR="0027268A" w:rsidRPr="0099292E" w:rsidRDefault="0027268A" w:rsidP="00357B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109" w:type="pct"/>
            <w:tcBorders>
              <w:top w:val="nil"/>
              <w:bottom w:val="nil"/>
            </w:tcBorders>
            <w:noWrap/>
            <w:hideMark/>
          </w:tcPr>
          <w:p w14:paraId="71D2266F" w14:textId="44EA87D6" w:rsidR="0027268A" w:rsidRPr="0099292E" w:rsidRDefault="0027268A" w:rsidP="00357B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46%</w:t>
            </w:r>
          </w:p>
        </w:tc>
      </w:tr>
      <w:tr w:rsidR="0027268A" w:rsidRPr="0099292E" w14:paraId="23D2791D"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3168" w:type="pct"/>
            <w:tcBorders>
              <w:top w:val="nil"/>
              <w:bottom w:val="nil"/>
            </w:tcBorders>
            <w:noWrap/>
            <w:hideMark/>
          </w:tcPr>
          <w:p w14:paraId="39F031ED" w14:textId="2866466C" w:rsidR="0027268A" w:rsidRPr="0099292E" w:rsidRDefault="0027268A" w:rsidP="0027268A">
            <w:pPr>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Book Tax Gap</w:t>
            </w:r>
            <w:r w:rsidR="00927937" w:rsidRPr="0099292E">
              <w:rPr>
                <w:rFonts w:ascii="Times New Roman" w:eastAsia="Times New Roman" w:hAnsi="Times New Roman" w:cs="Times New Roman"/>
                <w:b w:val="0"/>
                <w:bCs w:val="0"/>
                <w:color w:val="000000"/>
              </w:rPr>
              <w:t xml:space="preserve"> (BTG)</w:t>
            </w:r>
          </w:p>
        </w:tc>
        <w:tc>
          <w:tcPr>
            <w:tcW w:w="722" w:type="pct"/>
            <w:tcBorders>
              <w:top w:val="nil"/>
              <w:bottom w:val="nil"/>
            </w:tcBorders>
            <w:noWrap/>
            <w:hideMark/>
          </w:tcPr>
          <w:p w14:paraId="4EB8308E" w14:textId="77777777" w:rsidR="0027268A" w:rsidRPr="0099292E" w:rsidRDefault="0027268A" w:rsidP="00357B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p>
        </w:tc>
        <w:tc>
          <w:tcPr>
            <w:tcW w:w="1109" w:type="pct"/>
            <w:tcBorders>
              <w:top w:val="nil"/>
              <w:bottom w:val="nil"/>
            </w:tcBorders>
            <w:noWrap/>
            <w:hideMark/>
          </w:tcPr>
          <w:p w14:paraId="0B2BA12A" w14:textId="1D8D81AD" w:rsidR="0027268A" w:rsidRPr="0099292E" w:rsidRDefault="0027268A" w:rsidP="00357B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48%</w:t>
            </w:r>
          </w:p>
        </w:tc>
      </w:tr>
      <w:tr w:rsidR="0027268A" w:rsidRPr="0099292E" w14:paraId="1C768545" w14:textId="77777777" w:rsidTr="00357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68" w:type="pct"/>
            <w:tcBorders>
              <w:top w:val="nil"/>
              <w:bottom w:val="nil"/>
            </w:tcBorders>
            <w:noWrap/>
            <w:hideMark/>
          </w:tcPr>
          <w:p w14:paraId="5C7D117E" w14:textId="3FE75FF4" w:rsidR="0027268A" w:rsidRPr="0099292E" w:rsidRDefault="0027268A" w:rsidP="0027268A">
            <w:pPr>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Abnormal Book Tax Differences</w:t>
            </w:r>
            <w:r w:rsidR="00927937" w:rsidRPr="0099292E">
              <w:rPr>
                <w:rFonts w:ascii="Times New Roman" w:eastAsia="Times New Roman" w:hAnsi="Times New Roman" w:cs="Times New Roman"/>
                <w:b w:val="0"/>
                <w:bCs w:val="0"/>
                <w:color w:val="000000"/>
              </w:rPr>
              <w:t xml:space="preserve"> (ABTD)</w:t>
            </w:r>
          </w:p>
        </w:tc>
        <w:tc>
          <w:tcPr>
            <w:tcW w:w="722" w:type="pct"/>
            <w:tcBorders>
              <w:top w:val="nil"/>
              <w:bottom w:val="nil"/>
            </w:tcBorders>
            <w:noWrap/>
            <w:hideMark/>
          </w:tcPr>
          <w:p w14:paraId="4515054F" w14:textId="77777777" w:rsidR="0027268A" w:rsidRPr="0099292E" w:rsidRDefault="0027268A" w:rsidP="00357B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09" w:type="pct"/>
            <w:tcBorders>
              <w:top w:val="nil"/>
              <w:bottom w:val="nil"/>
            </w:tcBorders>
            <w:noWrap/>
            <w:hideMark/>
          </w:tcPr>
          <w:p w14:paraId="52798F2D" w14:textId="23D8F58B" w:rsidR="0027268A" w:rsidRPr="0099292E" w:rsidRDefault="0027268A" w:rsidP="00357B5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49%</w:t>
            </w:r>
          </w:p>
        </w:tc>
      </w:tr>
      <w:tr w:rsidR="0027268A" w:rsidRPr="0099292E" w14:paraId="0179CAD0" w14:textId="77777777" w:rsidTr="00357B5D">
        <w:trPr>
          <w:trHeight w:val="290"/>
        </w:trPr>
        <w:tc>
          <w:tcPr>
            <w:cnfStyle w:val="001000000000" w:firstRow="0" w:lastRow="0" w:firstColumn="1" w:lastColumn="0" w:oddVBand="0" w:evenVBand="0" w:oddHBand="0" w:evenHBand="0" w:firstRowFirstColumn="0" w:firstRowLastColumn="0" w:lastRowFirstColumn="0" w:lastRowLastColumn="0"/>
            <w:tcW w:w="3168" w:type="pct"/>
            <w:tcBorders>
              <w:top w:val="nil"/>
              <w:bottom w:val="nil"/>
            </w:tcBorders>
            <w:noWrap/>
            <w:hideMark/>
          </w:tcPr>
          <w:p w14:paraId="09E36C54" w14:textId="544D212B" w:rsidR="0027268A" w:rsidRPr="0099292E" w:rsidRDefault="0027268A" w:rsidP="0027268A">
            <w:pPr>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t>Total Deferred Tax to Total Asset</w:t>
            </w:r>
            <w:r w:rsidR="009D7FF5">
              <w:rPr>
                <w:rFonts w:ascii="Times New Roman" w:eastAsia="Times New Roman" w:hAnsi="Times New Roman" w:cs="Times New Roman"/>
                <w:b w:val="0"/>
                <w:bCs w:val="0"/>
                <w:color w:val="000000"/>
              </w:rPr>
              <w:t>s</w:t>
            </w:r>
            <w:r w:rsidR="00927937" w:rsidRPr="0099292E">
              <w:rPr>
                <w:rFonts w:ascii="Times New Roman" w:eastAsia="Times New Roman" w:hAnsi="Times New Roman" w:cs="Times New Roman"/>
                <w:b w:val="0"/>
                <w:bCs w:val="0"/>
                <w:color w:val="000000"/>
              </w:rPr>
              <w:t xml:space="preserve"> </w:t>
            </w:r>
          </w:p>
        </w:tc>
        <w:tc>
          <w:tcPr>
            <w:tcW w:w="722" w:type="pct"/>
            <w:tcBorders>
              <w:top w:val="nil"/>
              <w:bottom w:val="nil"/>
            </w:tcBorders>
            <w:noWrap/>
            <w:hideMark/>
          </w:tcPr>
          <w:p w14:paraId="74BF9832" w14:textId="77777777" w:rsidR="0027268A" w:rsidRPr="0099292E" w:rsidRDefault="0027268A" w:rsidP="00357B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09" w:type="pct"/>
            <w:tcBorders>
              <w:top w:val="nil"/>
              <w:bottom w:val="nil"/>
            </w:tcBorders>
            <w:noWrap/>
            <w:hideMark/>
          </w:tcPr>
          <w:p w14:paraId="753EB384" w14:textId="11D699C4" w:rsidR="0027268A" w:rsidRPr="0099292E" w:rsidRDefault="0027268A" w:rsidP="00357B5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49%</w:t>
            </w:r>
          </w:p>
        </w:tc>
      </w:tr>
      <w:tr w:rsidR="0027268A" w:rsidRPr="0099292E" w14:paraId="14B2D75F" w14:textId="77777777" w:rsidTr="00EF42D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68" w:type="pct"/>
            <w:tcBorders>
              <w:top w:val="nil"/>
            </w:tcBorders>
            <w:noWrap/>
            <w:hideMark/>
          </w:tcPr>
          <w:p w14:paraId="38664AC8" w14:textId="77777777" w:rsidR="0027268A" w:rsidRPr="0099292E" w:rsidRDefault="0027268A" w:rsidP="0027268A">
            <w:pPr>
              <w:rPr>
                <w:rFonts w:ascii="Times New Roman" w:eastAsia="Times New Roman" w:hAnsi="Times New Roman" w:cs="Times New Roman"/>
                <w:b w:val="0"/>
                <w:bCs w:val="0"/>
                <w:color w:val="000000"/>
              </w:rPr>
            </w:pPr>
            <w:r w:rsidRPr="0099292E">
              <w:rPr>
                <w:rFonts w:ascii="Times New Roman" w:eastAsia="Times New Roman" w:hAnsi="Times New Roman" w:cs="Times New Roman"/>
                <w:b w:val="0"/>
                <w:bCs w:val="0"/>
                <w:color w:val="000000"/>
              </w:rPr>
              <w:lastRenderedPageBreak/>
              <w:t>NPM Index</w:t>
            </w:r>
          </w:p>
        </w:tc>
        <w:tc>
          <w:tcPr>
            <w:tcW w:w="722" w:type="pct"/>
            <w:tcBorders>
              <w:top w:val="nil"/>
            </w:tcBorders>
            <w:noWrap/>
            <w:hideMark/>
          </w:tcPr>
          <w:p w14:paraId="474F9D7E" w14:textId="77777777" w:rsidR="0027268A" w:rsidRPr="0099292E" w:rsidRDefault="0027268A" w:rsidP="0027268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109" w:type="pct"/>
            <w:tcBorders>
              <w:top w:val="nil"/>
            </w:tcBorders>
            <w:noWrap/>
            <w:hideMark/>
          </w:tcPr>
          <w:p w14:paraId="5459D0FA" w14:textId="4E7A9C4C" w:rsidR="0027268A" w:rsidRPr="0099292E" w:rsidRDefault="0027268A" w:rsidP="0027268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49%</w:t>
            </w:r>
          </w:p>
        </w:tc>
      </w:tr>
    </w:tbl>
    <w:p w14:paraId="66217E34" w14:textId="77777777" w:rsidR="006C1ECD" w:rsidRDefault="006C1ECD" w:rsidP="00F428C4">
      <w:pPr>
        <w:spacing w:after="0"/>
        <w:ind w:firstLine="426"/>
        <w:contextualSpacing/>
        <w:jc w:val="both"/>
        <w:rPr>
          <w:rFonts w:ascii="Times New Roman" w:hAnsi="Times New Roman" w:cs="Times New Roman"/>
          <w:sz w:val="24"/>
          <w:szCs w:val="24"/>
          <w:lang w:val="id-ID"/>
        </w:rPr>
      </w:pPr>
    </w:p>
    <w:p w14:paraId="3097FD57" w14:textId="0EF80B00" w:rsidR="00FA5873" w:rsidRPr="0099292E" w:rsidRDefault="00710CF4" w:rsidP="00F428C4">
      <w:pPr>
        <w:spacing w:after="0"/>
        <w:ind w:firstLine="426"/>
        <w:contextualSpacing/>
        <w:jc w:val="both"/>
        <w:rPr>
          <w:rFonts w:ascii="Times New Roman" w:eastAsia="Times New Roman" w:hAnsi="Times New Roman" w:cs="Times New Roman"/>
          <w:bCs/>
          <w:iCs/>
          <w:sz w:val="24"/>
          <w:szCs w:val="24"/>
        </w:rPr>
      </w:pPr>
      <w:r w:rsidRPr="00F428C4">
        <w:rPr>
          <w:rFonts w:ascii="Times New Roman" w:hAnsi="Times New Roman" w:cs="Times New Roman"/>
          <w:sz w:val="24"/>
          <w:szCs w:val="24"/>
        </w:rPr>
        <w:t xml:space="preserve">Most studies rely on the ETR </w:t>
      </w:r>
      <w:r w:rsidR="00927937" w:rsidRPr="00F428C4">
        <w:rPr>
          <w:rFonts w:ascii="Times New Roman" w:hAnsi="Times New Roman" w:cs="Times New Roman"/>
          <w:sz w:val="24"/>
          <w:szCs w:val="24"/>
        </w:rPr>
        <w:t>as the main proxy for measuring tax avoidance</w:t>
      </w:r>
      <w:r w:rsidR="00A171FB" w:rsidRPr="00F428C4">
        <w:rPr>
          <w:rFonts w:ascii="Times New Roman" w:hAnsi="Times New Roman" w:cs="Times New Roman"/>
          <w:sz w:val="24"/>
          <w:szCs w:val="24"/>
        </w:rPr>
        <w:t>.</w:t>
      </w:r>
      <w:r w:rsidRPr="00F428C4">
        <w:rPr>
          <w:rFonts w:ascii="Times New Roman" w:hAnsi="Times New Roman" w:cs="Times New Roman"/>
          <w:sz w:val="24"/>
          <w:szCs w:val="24"/>
        </w:rPr>
        <w:t xml:space="preserve"> </w:t>
      </w:r>
      <w:r w:rsidR="00927937" w:rsidRPr="00F428C4">
        <w:rPr>
          <w:rFonts w:ascii="Times New Roman" w:hAnsi="Times New Roman" w:cs="Times New Roman"/>
          <w:sz w:val="24"/>
          <w:szCs w:val="24"/>
        </w:rPr>
        <w:t>ETR is widely used as an indicator because it is simple to calculate and interpret, representing the proportion of tax paid relative to profit before tax</w:t>
      </w:r>
      <w:r w:rsidR="00A171FB" w:rsidRPr="00F428C4">
        <w:rPr>
          <w:rFonts w:ascii="Times New Roman" w:hAnsi="Times New Roman" w:cs="Times New Roman"/>
          <w:sz w:val="24"/>
          <w:szCs w:val="24"/>
        </w:rPr>
        <w:t>.</w:t>
      </w:r>
      <w:r w:rsidR="0044679E" w:rsidRPr="00F428C4">
        <w:rPr>
          <w:rFonts w:ascii="Times New Roman" w:hAnsi="Times New Roman" w:cs="Times New Roman"/>
          <w:sz w:val="24"/>
          <w:szCs w:val="24"/>
        </w:rPr>
        <w:t xml:space="preserve"> </w:t>
      </w:r>
      <w:r w:rsidR="00A171FB" w:rsidRPr="00F428C4">
        <w:rPr>
          <w:rFonts w:ascii="Times New Roman" w:hAnsi="Times New Roman" w:cs="Times New Roman"/>
          <w:sz w:val="24"/>
          <w:szCs w:val="24"/>
        </w:rPr>
        <w:t xml:space="preserve">CETR is also used quite frequently, offering a different perspective on tax avoidance by focusing on the cash flow basis, which may be more </w:t>
      </w:r>
      <w:r w:rsidR="009A08C3" w:rsidRPr="00F428C4">
        <w:rPr>
          <w:rFonts w:ascii="Times New Roman" w:hAnsi="Times New Roman" w:cs="Times New Roman"/>
          <w:sz w:val="24"/>
          <w:szCs w:val="24"/>
        </w:rPr>
        <w:t>challenging</w:t>
      </w:r>
      <w:r w:rsidR="00A171FB" w:rsidRPr="00F428C4">
        <w:rPr>
          <w:rFonts w:ascii="Times New Roman" w:hAnsi="Times New Roman" w:cs="Times New Roman"/>
          <w:sz w:val="24"/>
          <w:szCs w:val="24"/>
        </w:rPr>
        <w:t xml:space="preserve"> to manipulate. Meanwhile, Book Tax Differences</w:t>
      </w:r>
      <w:r w:rsidR="00276598" w:rsidRPr="00F428C4">
        <w:rPr>
          <w:rFonts w:ascii="Times New Roman" w:hAnsi="Times New Roman" w:cs="Times New Roman"/>
          <w:sz w:val="24"/>
          <w:szCs w:val="24"/>
        </w:rPr>
        <w:t xml:space="preserve"> </w:t>
      </w:r>
      <w:r w:rsidR="00A171FB" w:rsidRPr="00F428C4">
        <w:rPr>
          <w:rFonts w:ascii="Times New Roman" w:hAnsi="Times New Roman" w:cs="Times New Roman"/>
          <w:sz w:val="24"/>
          <w:szCs w:val="24"/>
        </w:rPr>
        <w:t>(BTD)-based proxies</w:t>
      </w:r>
      <w:r w:rsidR="00CF2ACB" w:rsidRPr="00F428C4">
        <w:rPr>
          <w:rFonts w:ascii="Times New Roman" w:hAnsi="Times New Roman" w:cs="Times New Roman"/>
          <w:sz w:val="24"/>
          <w:szCs w:val="24"/>
        </w:rPr>
        <w:t>,</w:t>
      </w:r>
      <w:r w:rsidR="00A171FB" w:rsidRPr="00F428C4">
        <w:rPr>
          <w:rFonts w:ascii="Times New Roman" w:hAnsi="Times New Roman" w:cs="Times New Roman"/>
          <w:sz w:val="24"/>
          <w:szCs w:val="24"/>
        </w:rPr>
        <w:t xml:space="preserve"> such as Book Tax Differences and Book Tax Gap</w:t>
      </w:r>
      <w:r w:rsidR="009D7FF5">
        <w:rPr>
          <w:rFonts w:ascii="Times New Roman" w:hAnsi="Times New Roman" w:cs="Times New Roman"/>
          <w:sz w:val="24"/>
          <w:szCs w:val="24"/>
        </w:rPr>
        <w:t>,</w:t>
      </w:r>
      <w:r w:rsidR="00A171FB" w:rsidRPr="00F428C4">
        <w:rPr>
          <w:rFonts w:ascii="Times New Roman" w:hAnsi="Times New Roman" w:cs="Times New Roman"/>
          <w:sz w:val="24"/>
          <w:szCs w:val="24"/>
        </w:rPr>
        <w:t xml:space="preserve"> are relatively rarely used. This preference shows the tendency of researchers to use measures that more directly reflect the tax burden paid, compared to the difference between accounting profit and fiscal profit</w:t>
      </w:r>
      <w:r w:rsidR="009D7FF5">
        <w:rPr>
          <w:rFonts w:ascii="Times New Roman" w:hAnsi="Times New Roman" w:cs="Times New Roman"/>
          <w:sz w:val="24"/>
          <w:szCs w:val="24"/>
        </w:rPr>
        <w:t>,</w:t>
      </w:r>
      <w:r w:rsidR="00A171FB" w:rsidRPr="00F428C4">
        <w:rPr>
          <w:rFonts w:ascii="Times New Roman" w:hAnsi="Times New Roman" w:cs="Times New Roman"/>
          <w:sz w:val="24"/>
          <w:szCs w:val="24"/>
        </w:rPr>
        <w:t xml:space="preserve"> which may be more complex. </w:t>
      </w:r>
      <w:r w:rsidR="00927937" w:rsidRPr="00F428C4">
        <w:rPr>
          <w:rFonts w:ascii="Times New Roman" w:hAnsi="Times New Roman" w:cs="Times New Roman"/>
          <w:sz w:val="24"/>
          <w:szCs w:val="24"/>
        </w:rPr>
        <w:t>It should be noted that the choice of tax avoidance proxies affects both the validity of the results and the comparability across studies</w:t>
      </w:r>
      <w:r w:rsidR="00A171FB" w:rsidRPr="00F428C4">
        <w:rPr>
          <w:rFonts w:ascii="Times New Roman" w:hAnsi="Times New Roman" w:cs="Times New Roman"/>
          <w:sz w:val="24"/>
          <w:szCs w:val="24"/>
        </w:rPr>
        <w:t>.</w:t>
      </w:r>
    </w:p>
    <w:p w14:paraId="7FA72563" w14:textId="49552BFD" w:rsidR="00FA5873" w:rsidRPr="002C008D" w:rsidRDefault="00A171FB" w:rsidP="00542793">
      <w:pPr>
        <w:spacing w:after="0"/>
        <w:contextualSpacing/>
        <w:jc w:val="both"/>
        <w:rPr>
          <w:rFonts w:ascii="Times New Roman" w:eastAsia="Times New Roman" w:hAnsi="Times New Roman" w:cs="Times New Roman"/>
          <w:b/>
          <w:i/>
          <w:iCs/>
          <w:sz w:val="24"/>
          <w:szCs w:val="24"/>
        </w:rPr>
      </w:pPr>
      <w:r w:rsidRPr="002C008D">
        <w:rPr>
          <w:rFonts w:ascii="Times New Roman" w:eastAsia="Times New Roman" w:hAnsi="Times New Roman" w:cs="Times New Roman"/>
          <w:b/>
          <w:i/>
          <w:iCs/>
          <w:sz w:val="24"/>
          <w:szCs w:val="24"/>
        </w:rPr>
        <w:t>Classification Based on Independent Variables (ESG Pillars)</w:t>
      </w:r>
    </w:p>
    <w:p w14:paraId="2D60E063" w14:textId="70B47936" w:rsidR="00392697" w:rsidRPr="00F428C4" w:rsidRDefault="00A171FB" w:rsidP="00F428C4">
      <w:pPr>
        <w:spacing w:after="0"/>
        <w:ind w:firstLine="426"/>
        <w:contextualSpacing/>
        <w:jc w:val="both"/>
        <w:rPr>
          <w:rFonts w:ascii="Times New Roman" w:hAnsi="Times New Roman" w:cs="Times New Roman"/>
          <w:sz w:val="24"/>
          <w:szCs w:val="24"/>
        </w:rPr>
      </w:pPr>
      <w:r w:rsidRPr="00F428C4">
        <w:rPr>
          <w:rFonts w:ascii="Times New Roman" w:hAnsi="Times New Roman" w:cs="Times New Roman"/>
          <w:sz w:val="24"/>
          <w:szCs w:val="24"/>
        </w:rPr>
        <w:t>Further analysis was conducted to identify the most frequently used independent variables in the sample articles</w:t>
      </w:r>
      <w:r w:rsidR="009A08C3" w:rsidRPr="00F428C4">
        <w:rPr>
          <w:rFonts w:ascii="Times New Roman" w:hAnsi="Times New Roman" w:cs="Times New Roman"/>
          <w:sz w:val="24"/>
          <w:szCs w:val="24"/>
        </w:rPr>
        <w:t xml:space="preserve"> representing</w:t>
      </w:r>
      <w:r w:rsidRPr="00F428C4">
        <w:rPr>
          <w:rFonts w:ascii="Times New Roman" w:hAnsi="Times New Roman" w:cs="Times New Roman"/>
          <w:sz w:val="24"/>
          <w:szCs w:val="24"/>
        </w:rPr>
        <w:t xml:space="preserve"> the ESG pillars. Table </w:t>
      </w:r>
      <w:r w:rsidR="001F50EF" w:rsidRPr="00F428C4">
        <w:rPr>
          <w:rFonts w:ascii="Times New Roman" w:hAnsi="Times New Roman" w:cs="Times New Roman"/>
          <w:sz w:val="24"/>
          <w:szCs w:val="24"/>
        </w:rPr>
        <w:t>7</w:t>
      </w:r>
      <w:r w:rsidRPr="00F428C4">
        <w:rPr>
          <w:rFonts w:ascii="Times New Roman" w:hAnsi="Times New Roman" w:cs="Times New Roman"/>
          <w:sz w:val="24"/>
          <w:szCs w:val="24"/>
        </w:rPr>
        <w:t xml:space="preserve"> lists the independent variables along with the number and percentage of occurrences, providing an overview of the empirical focus of the research.</w:t>
      </w:r>
    </w:p>
    <w:p w14:paraId="0A2D240D" w14:textId="77777777" w:rsidR="00A171FB" w:rsidRPr="0099292E" w:rsidRDefault="00A171FB" w:rsidP="00542793">
      <w:pPr>
        <w:spacing w:after="0"/>
        <w:contextualSpacing/>
        <w:jc w:val="both"/>
        <w:rPr>
          <w:rFonts w:ascii="Times New Roman" w:eastAsia="Times New Roman" w:hAnsi="Times New Roman" w:cs="Times New Roman"/>
          <w:bCs/>
          <w:iCs/>
          <w:sz w:val="24"/>
          <w:szCs w:val="24"/>
        </w:rPr>
      </w:pPr>
    </w:p>
    <w:p w14:paraId="3EC33A60" w14:textId="1E79A9C7" w:rsidR="00E94BCA" w:rsidRPr="002C008D" w:rsidRDefault="00E94BCA" w:rsidP="00542793">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2C008D">
        <w:rPr>
          <w:rFonts w:ascii="Times New Roman" w:hAnsi="Times New Roman" w:cs="Times New Roman"/>
          <w:b/>
          <w:bCs/>
          <w:i w:val="0"/>
          <w:iCs w:val="0"/>
          <w:color w:val="000000" w:themeColor="text1"/>
          <w:sz w:val="24"/>
          <w:szCs w:val="24"/>
        </w:rPr>
        <w:t>Tabl</w:t>
      </w:r>
      <w:r w:rsidR="00A171FB" w:rsidRPr="002C008D">
        <w:rPr>
          <w:rFonts w:ascii="Times New Roman" w:hAnsi="Times New Roman" w:cs="Times New Roman"/>
          <w:b/>
          <w:bCs/>
          <w:i w:val="0"/>
          <w:iCs w:val="0"/>
          <w:color w:val="000000" w:themeColor="text1"/>
          <w:sz w:val="24"/>
          <w:szCs w:val="24"/>
        </w:rPr>
        <w:t>e</w:t>
      </w:r>
      <w:r w:rsidRPr="002C008D">
        <w:rPr>
          <w:rFonts w:ascii="Times New Roman" w:hAnsi="Times New Roman" w:cs="Times New Roman"/>
          <w:b/>
          <w:bCs/>
          <w:i w:val="0"/>
          <w:iCs w:val="0"/>
          <w:color w:val="000000" w:themeColor="text1"/>
          <w:sz w:val="24"/>
          <w:szCs w:val="24"/>
        </w:rPr>
        <w:t xml:space="preserve"> </w:t>
      </w:r>
      <w:r w:rsidR="001F50EF" w:rsidRPr="002C008D">
        <w:rPr>
          <w:rFonts w:ascii="Times New Roman" w:hAnsi="Times New Roman" w:cs="Times New Roman"/>
          <w:b/>
          <w:bCs/>
          <w:i w:val="0"/>
          <w:iCs w:val="0"/>
          <w:color w:val="000000" w:themeColor="text1"/>
          <w:sz w:val="24"/>
          <w:szCs w:val="24"/>
        </w:rPr>
        <w:t>7</w:t>
      </w:r>
      <w:r w:rsidRPr="002C008D">
        <w:rPr>
          <w:rFonts w:ascii="Times New Roman" w:hAnsi="Times New Roman" w:cs="Times New Roman"/>
          <w:b/>
          <w:bCs/>
          <w:i w:val="0"/>
          <w:iCs w:val="0"/>
          <w:color w:val="000000" w:themeColor="text1"/>
          <w:sz w:val="24"/>
          <w:szCs w:val="24"/>
        </w:rPr>
        <w:t xml:space="preserve">. </w:t>
      </w:r>
      <w:r w:rsidR="00A171FB" w:rsidRPr="002C008D">
        <w:rPr>
          <w:rFonts w:ascii="Times New Roman" w:hAnsi="Times New Roman" w:cs="Times New Roman"/>
          <w:b/>
          <w:bCs/>
          <w:i w:val="0"/>
          <w:iCs w:val="0"/>
          <w:color w:val="000000" w:themeColor="text1"/>
          <w:sz w:val="24"/>
          <w:szCs w:val="24"/>
        </w:rPr>
        <w:t>Types of Independent Variables Used in the Study</w:t>
      </w:r>
    </w:p>
    <w:tbl>
      <w:tblPr>
        <w:tblW w:w="8897" w:type="dxa"/>
        <w:tblLook w:val="04A0" w:firstRow="1" w:lastRow="0" w:firstColumn="1" w:lastColumn="0" w:noHBand="0" w:noVBand="1"/>
      </w:tblPr>
      <w:tblGrid>
        <w:gridCol w:w="4536"/>
        <w:gridCol w:w="1524"/>
        <w:gridCol w:w="1419"/>
        <w:gridCol w:w="1418"/>
      </w:tblGrid>
      <w:tr w:rsidR="00153408" w:rsidRPr="002C008D" w14:paraId="1C725B46" w14:textId="77777777" w:rsidTr="00357B5D">
        <w:trPr>
          <w:trHeight w:val="300"/>
          <w:tblHeader/>
        </w:trPr>
        <w:tc>
          <w:tcPr>
            <w:tcW w:w="4536" w:type="dxa"/>
            <w:tcBorders>
              <w:top w:val="single" w:sz="8" w:space="0" w:color="7F7F7F"/>
              <w:left w:val="nil"/>
              <w:bottom w:val="single" w:sz="8" w:space="0" w:color="7F7F7F"/>
              <w:right w:val="nil"/>
            </w:tcBorders>
            <w:noWrap/>
            <w:vAlign w:val="center"/>
            <w:hideMark/>
          </w:tcPr>
          <w:p w14:paraId="2C4BFDC5" w14:textId="77777777" w:rsidR="00153408" w:rsidRPr="006C1ECD" w:rsidRDefault="00153408" w:rsidP="00357B5D">
            <w:pPr>
              <w:spacing w:after="0" w:line="240" w:lineRule="auto"/>
              <w:rPr>
                <w:rFonts w:ascii="Times New Roman" w:eastAsia="Times New Roman" w:hAnsi="Times New Roman" w:cs="Times New Roman"/>
                <w:b/>
                <w:bCs/>
                <w:color w:val="000000"/>
              </w:rPr>
            </w:pPr>
            <w:r w:rsidRPr="006C1ECD">
              <w:rPr>
                <w:rFonts w:ascii="Times New Roman" w:eastAsia="Times New Roman" w:hAnsi="Times New Roman" w:cs="Times New Roman"/>
                <w:b/>
                <w:bCs/>
                <w:color w:val="000000"/>
              </w:rPr>
              <w:t>Type of Independent Variable</w:t>
            </w:r>
          </w:p>
        </w:tc>
        <w:tc>
          <w:tcPr>
            <w:tcW w:w="1524" w:type="dxa"/>
            <w:tcBorders>
              <w:top w:val="single" w:sz="8" w:space="0" w:color="7F7F7F"/>
              <w:left w:val="nil"/>
              <w:bottom w:val="single" w:sz="8" w:space="0" w:color="7F7F7F"/>
              <w:right w:val="nil"/>
            </w:tcBorders>
            <w:noWrap/>
            <w:vAlign w:val="center"/>
            <w:hideMark/>
          </w:tcPr>
          <w:p w14:paraId="7A53270F" w14:textId="77777777" w:rsidR="00153408" w:rsidRPr="006C1ECD" w:rsidRDefault="00153408" w:rsidP="00357B5D">
            <w:pPr>
              <w:spacing w:after="0" w:line="240" w:lineRule="auto"/>
              <w:rPr>
                <w:rFonts w:ascii="Times New Roman" w:eastAsia="Times New Roman" w:hAnsi="Times New Roman" w:cs="Times New Roman"/>
                <w:b/>
                <w:bCs/>
                <w:color w:val="000000"/>
              </w:rPr>
            </w:pPr>
            <w:r w:rsidRPr="006C1ECD">
              <w:rPr>
                <w:rFonts w:ascii="Times New Roman" w:eastAsia="Times New Roman" w:hAnsi="Times New Roman" w:cs="Times New Roman"/>
                <w:b/>
                <w:bCs/>
                <w:color w:val="000000"/>
              </w:rPr>
              <w:t>Pillar</w:t>
            </w:r>
          </w:p>
        </w:tc>
        <w:tc>
          <w:tcPr>
            <w:tcW w:w="1419" w:type="dxa"/>
            <w:tcBorders>
              <w:top w:val="single" w:sz="8" w:space="0" w:color="7F7F7F"/>
              <w:left w:val="nil"/>
              <w:bottom w:val="single" w:sz="8" w:space="0" w:color="7F7F7F"/>
              <w:right w:val="nil"/>
            </w:tcBorders>
            <w:noWrap/>
            <w:vAlign w:val="center"/>
            <w:hideMark/>
          </w:tcPr>
          <w:p w14:paraId="630E6900" w14:textId="77777777" w:rsidR="00153408" w:rsidRPr="006C1ECD" w:rsidRDefault="00153408" w:rsidP="00357B5D">
            <w:pPr>
              <w:spacing w:after="0" w:line="240" w:lineRule="auto"/>
              <w:jc w:val="right"/>
              <w:rPr>
                <w:rFonts w:ascii="Times New Roman" w:eastAsia="Times New Roman" w:hAnsi="Times New Roman" w:cs="Times New Roman"/>
                <w:b/>
                <w:bCs/>
                <w:color w:val="000000"/>
              </w:rPr>
            </w:pPr>
            <w:r w:rsidRPr="006C1ECD">
              <w:rPr>
                <w:rFonts w:ascii="Times New Roman" w:eastAsia="Times New Roman" w:hAnsi="Times New Roman" w:cs="Times New Roman"/>
                <w:b/>
                <w:bCs/>
                <w:color w:val="000000"/>
              </w:rPr>
              <w:t>Number of Articles</w:t>
            </w:r>
          </w:p>
        </w:tc>
        <w:tc>
          <w:tcPr>
            <w:tcW w:w="1418" w:type="dxa"/>
            <w:tcBorders>
              <w:top w:val="single" w:sz="8" w:space="0" w:color="7F7F7F"/>
              <w:left w:val="nil"/>
              <w:bottom w:val="single" w:sz="8" w:space="0" w:color="7F7F7F"/>
              <w:right w:val="nil"/>
            </w:tcBorders>
            <w:noWrap/>
            <w:vAlign w:val="center"/>
            <w:hideMark/>
          </w:tcPr>
          <w:p w14:paraId="3ADF1D43" w14:textId="77777777" w:rsidR="00153408" w:rsidRPr="006C1ECD" w:rsidRDefault="00153408" w:rsidP="00357B5D">
            <w:pPr>
              <w:spacing w:after="0" w:line="240" w:lineRule="auto"/>
              <w:jc w:val="right"/>
              <w:rPr>
                <w:rFonts w:ascii="Times New Roman" w:eastAsia="Times New Roman" w:hAnsi="Times New Roman" w:cs="Times New Roman"/>
                <w:b/>
                <w:bCs/>
                <w:color w:val="000000"/>
              </w:rPr>
            </w:pPr>
            <w:r w:rsidRPr="006C1ECD">
              <w:rPr>
                <w:rFonts w:ascii="Times New Roman" w:eastAsia="Times New Roman" w:hAnsi="Times New Roman" w:cs="Times New Roman"/>
                <w:b/>
                <w:bCs/>
                <w:color w:val="000000"/>
              </w:rPr>
              <w:t>Percentage</w:t>
            </w:r>
          </w:p>
        </w:tc>
      </w:tr>
      <w:tr w:rsidR="00153408" w:rsidRPr="0099292E" w14:paraId="074459F4" w14:textId="77777777" w:rsidTr="00EF42DC">
        <w:trPr>
          <w:trHeight w:val="290"/>
        </w:trPr>
        <w:tc>
          <w:tcPr>
            <w:tcW w:w="4536" w:type="dxa"/>
            <w:tcBorders>
              <w:top w:val="nil"/>
              <w:left w:val="nil"/>
              <w:bottom w:val="nil"/>
              <w:right w:val="nil"/>
            </w:tcBorders>
            <w:noWrap/>
            <w:vAlign w:val="center"/>
            <w:hideMark/>
          </w:tcPr>
          <w:p w14:paraId="6A244E4A"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Institutional Ownership</w:t>
            </w:r>
          </w:p>
        </w:tc>
        <w:tc>
          <w:tcPr>
            <w:tcW w:w="1524" w:type="dxa"/>
            <w:tcBorders>
              <w:top w:val="nil"/>
              <w:left w:val="nil"/>
              <w:bottom w:val="nil"/>
              <w:right w:val="nil"/>
            </w:tcBorders>
            <w:noWrap/>
            <w:vAlign w:val="center"/>
            <w:hideMark/>
          </w:tcPr>
          <w:p w14:paraId="0DDC6020"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5A606D09"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21</w:t>
            </w:r>
          </w:p>
        </w:tc>
        <w:tc>
          <w:tcPr>
            <w:tcW w:w="1418" w:type="dxa"/>
            <w:tcBorders>
              <w:top w:val="nil"/>
              <w:left w:val="nil"/>
              <w:bottom w:val="nil"/>
              <w:right w:val="nil"/>
            </w:tcBorders>
            <w:noWrap/>
            <w:vAlign w:val="center"/>
            <w:hideMark/>
          </w:tcPr>
          <w:p w14:paraId="4043E210" w14:textId="2D4F0332"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16</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28%</w:t>
            </w:r>
          </w:p>
        </w:tc>
      </w:tr>
      <w:tr w:rsidR="00153408" w:rsidRPr="0099292E" w14:paraId="4194A43C" w14:textId="77777777" w:rsidTr="00EF42DC">
        <w:trPr>
          <w:trHeight w:val="290"/>
        </w:trPr>
        <w:tc>
          <w:tcPr>
            <w:tcW w:w="4536" w:type="dxa"/>
            <w:tcBorders>
              <w:top w:val="nil"/>
              <w:left w:val="nil"/>
              <w:bottom w:val="nil"/>
              <w:right w:val="nil"/>
            </w:tcBorders>
            <w:noWrap/>
            <w:vAlign w:val="center"/>
            <w:hideMark/>
          </w:tcPr>
          <w:p w14:paraId="643BACD2"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Audit Committee</w:t>
            </w:r>
          </w:p>
        </w:tc>
        <w:tc>
          <w:tcPr>
            <w:tcW w:w="1524" w:type="dxa"/>
            <w:tcBorders>
              <w:top w:val="nil"/>
              <w:left w:val="nil"/>
              <w:bottom w:val="nil"/>
              <w:right w:val="nil"/>
            </w:tcBorders>
            <w:noWrap/>
            <w:vAlign w:val="center"/>
            <w:hideMark/>
          </w:tcPr>
          <w:p w14:paraId="6061E38E"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2663B4AD"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15</w:t>
            </w:r>
          </w:p>
        </w:tc>
        <w:tc>
          <w:tcPr>
            <w:tcW w:w="1418" w:type="dxa"/>
            <w:tcBorders>
              <w:top w:val="nil"/>
              <w:left w:val="nil"/>
              <w:bottom w:val="nil"/>
              <w:right w:val="nil"/>
            </w:tcBorders>
            <w:noWrap/>
            <w:vAlign w:val="center"/>
            <w:hideMark/>
          </w:tcPr>
          <w:p w14:paraId="5A170E83" w14:textId="19FB1F79"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11</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63%</w:t>
            </w:r>
          </w:p>
        </w:tc>
      </w:tr>
      <w:tr w:rsidR="00153408" w:rsidRPr="0099292E" w14:paraId="71BAF981" w14:textId="77777777" w:rsidTr="00EF42DC">
        <w:trPr>
          <w:trHeight w:val="290"/>
        </w:trPr>
        <w:tc>
          <w:tcPr>
            <w:tcW w:w="4536" w:type="dxa"/>
            <w:tcBorders>
              <w:top w:val="nil"/>
              <w:left w:val="nil"/>
              <w:bottom w:val="nil"/>
              <w:right w:val="nil"/>
            </w:tcBorders>
            <w:noWrap/>
            <w:vAlign w:val="center"/>
            <w:hideMark/>
          </w:tcPr>
          <w:p w14:paraId="7E6D7A2B"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Independent Commissioner</w:t>
            </w:r>
          </w:p>
        </w:tc>
        <w:tc>
          <w:tcPr>
            <w:tcW w:w="1524" w:type="dxa"/>
            <w:tcBorders>
              <w:top w:val="nil"/>
              <w:left w:val="nil"/>
              <w:bottom w:val="nil"/>
              <w:right w:val="nil"/>
            </w:tcBorders>
            <w:noWrap/>
            <w:vAlign w:val="center"/>
            <w:hideMark/>
          </w:tcPr>
          <w:p w14:paraId="48F4C4CC"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712EA5A4"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14</w:t>
            </w:r>
          </w:p>
        </w:tc>
        <w:tc>
          <w:tcPr>
            <w:tcW w:w="1418" w:type="dxa"/>
            <w:tcBorders>
              <w:top w:val="nil"/>
              <w:left w:val="nil"/>
              <w:bottom w:val="nil"/>
              <w:right w:val="nil"/>
            </w:tcBorders>
            <w:noWrap/>
            <w:vAlign w:val="center"/>
            <w:hideMark/>
          </w:tcPr>
          <w:p w14:paraId="2595751F" w14:textId="75C3AE94"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10</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85%</w:t>
            </w:r>
          </w:p>
        </w:tc>
      </w:tr>
      <w:tr w:rsidR="00153408" w:rsidRPr="0099292E" w14:paraId="4AABC5B7" w14:textId="77777777" w:rsidTr="00EF42DC">
        <w:trPr>
          <w:trHeight w:val="290"/>
        </w:trPr>
        <w:tc>
          <w:tcPr>
            <w:tcW w:w="4536" w:type="dxa"/>
            <w:tcBorders>
              <w:top w:val="nil"/>
              <w:left w:val="nil"/>
              <w:bottom w:val="nil"/>
              <w:right w:val="nil"/>
            </w:tcBorders>
            <w:noWrap/>
            <w:vAlign w:val="center"/>
            <w:hideMark/>
          </w:tcPr>
          <w:p w14:paraId="2D02C280"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Corporate Social Responsibility (CSR)</w:t>
            </w:r>
          </w:p>
        </w:tc>
        <w:tc>
          <w:tcPr>
            <w:tcW w:w="1524" w:type="dxa"/>
            <w:tcBorders>
              <w:top w:val="nil"/>
              <w:left w:val="nil"/>
              <w:bottom w:val="nil"/>
              <w:right w:val="nil"/>
            </w:tcBorders>
            <w:noWrap/>
            <w:vAlign w:val="center"/>
            <w:hideMark/>
          </w:tcPr>
          <w:p w14:paraId="5DEC6D0F"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Social</w:t>
            </w:r>
          </w:p>
        </w:tc>
        <w:tc>
          <w:tcPr>
            <w:tcW w:w="1419" w:type="dxa"/>
            <w:tcBorders>
              <w:top w:val="nil"/>
              <w:left w:val="nil"/>
              <w:bottom w:val="nil"/>
              <w:right w:val="nil"/>
            </w:tcBorders>
            <w:noWrap/>
            <w:vAlign w:val="center"/>
            <w:hideMark/>
          </w:tcPr>
          <w:p w14:paraId="5220BA01"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13</w:t>
            </w:r>
          </w:p>
        </w:tc>
        <w:tc>
          <w:tcPr>
            <w:tcW w:w="1418" w:type="dxa"/>
            <w:tcBorders>
              <w:top w:val="nil"/>
              <w:left w:val="nil"/>
              <w:bottom w:val="nil"/>
              <w:right w:val="nil"/>
            </w:tcBorders>
            <w:noWrap/>
            <w:vAlign w:val="center"/>
            <w:hideMark/>
          </w:tcPr>
          <w:p w14:paraId="4C8CA53C" w14:textId="708A29C9"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10</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08%</w:t>
            </w:r>
          </w:p>
        </w:tc>
      </w:tr>
      <w:tr w:rsidR="00153408" w:rsidRPr="0099292E" w14:paraId="5FF2368E" w14:textId="77777777" w:rsidTr="00EF42DC">
        <w:trPr>
          <w:trHeight w:val="290"/>
        </w:trPr>
        <w:tc>
          <w:tcPr>
            <w:tcW w:w="4536" w:type="dxa"/>
            <w:tcBorders>
              <w:top w:val="nil"/>
              <w:left w:val="nil"/>
              <w:bottom w:val="nil"/>
              <w:right w:val="nil"/>
            </w:tcBorders>
            <w:noWrap/>
            <w:vAlign w:val="center"/>
            <w:hideMark/>
          </w:tcPr>
          <w:p w14:paraId="3ACCCBEE" w14:textId="75AABD6E"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Executive Characteristic</w:t>
            </w:r>
          </w:p>
        </w:tc>
        <w:tc>
          <w:tcPr>
            <w:tcW w:w="1524" w:type="dxa"/>
            <w:tcBorders>
              <w:top w:val="nil"/>
              <w:left w:val="nil"/>
              <w:bottom w:val="nil"/>
              <w:right w:val="nil"/>
            </w:tcBorders>
            <w:noWrap/>
            <w:vAlign w:val="center"/>
            <w:hideMark/>
          </w:tcPr>
          <w:p w14:paraId="5DB84A1E"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020046E1"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12</w:t>
            </w:r>
          </w:p>
        </w:tc>
        <w:tc>
          <w:tcPr>
            <w:tcW w:w="1418" w:type="dxa"/>
            <w:tcBorders>
              <w:top w:val="nil"/>
              <w:left w:val="nil"/>
              <w:bottom w:val="nil"/>
              <w:right w:val="nil"/>
            </w:tcBorders>
            <w:noWrap/>
            <w:vAlign w:val="center"/>
            <w:hideMark/>
          </w:tcPr>
          <w:p w14:paraId="5FABE161" w14:textId="52192779"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9</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30%</w:t>
            </w:r>
          </w:p>
        </w:tc>
      </w:tr>
      <w:tr w:rsidR="00153408" w:rsidRPr="0099292E" w14:paraId="2C65E59B" w14:textId="77777777" w:rsidTr="00EF42DC">
        <w:trPr>
          <w:trHeight w:val="290"/>
        </w:trPr>
        <w:tc>
          <w:tcPr>
            <w:tcW w:w="4536" w:type="dxa"/>
            <w:tcBorders>
              <w:top w:val="nil"/>
              <w:left w:val="nil"/>
              <w:bottom w:val="nil"/>
              <w:right w:val="nil"/>
            </w:tcBorders>
            <w:noWrap/>
            <w:vAlign w:val="center"/>
            <w:hideMark/>
          </w:tcPr>
          <w:p w14:paraId="6A23E124"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Political Connections</w:t>
            </w:r>
          </w:p>
        </w:tc>
        <w:tc>
          <w:tcPr>
            <w:tcW w:w="1524" w:type="dxa"/>
            <w:tcBorders>
              <w:top w:val="nil"/>
              <w:left w:val="nil"/>
              <w:bottom w:val="nil"/>
              <w:right w:val="nil"/>
            </w:tcBorders>
            <w:noWrap/>
            <w:vAlign w:val="center"/>
            <w:hideMark/>
          </w:tcPr>
          <w:p w14:paraId="7D811012"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5B527541"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10</w:t>
            </w:r>
          </w:p>
        </w:tc>
        <w:tc>
          <w:tcPr>
            <w:tcW w:w="1418" w:type="dxa"/>
            <w:tcBorders>
              <w:top w:val="nil"/>
              <w:left w:val="nil"/>
              <w:bottom w:val="nil"/>
              <w:right w:val="nil"/>
            </w:tcBorders>
            <w:noWrap/>
            <w:vAlign w:val="center"/>
            <w:hideMark/>
          </w:tcPr>
          <w:p w14:paraId="05691C0E" w14:textId="30E85E62"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75%</w:t>
            </w:r>
          </w:p>
        </w:tc>
      </w:tr>
      <w:tr w:rsidR="00153408" w:rsidRPr="0099292E" w14:paraId="4F1CB2FD" w14:textId="77777777" w:rsidTr="00EF42DC">
        <w:trPr>
          <w:trHeight w:val="290"/>
        </w:trPr>
        <w:tc>
          <w:tcPr>
            <w:tcW w:w="4536" w:type="dxa"/>
            <w:tcBorders>
              <w:top w:val="nil"/>
              <w:left w:val="nil"/>
              <w:bottom w:val="nil"/>
              <w:right w:val="nil"/>
            </w:tcBorders>
            <w:noWrap/>
            <w:vAlign w:val="center"/>
            <w:hideMark/>
          </w:tcPr>
          <w:p w14:paraId="5C263EB4"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Audit Quality</w:t>
            </w:r>
          </w:p>
        </w:tc>
        <w:tc>
          <w:tcPr>
            <w:tcW w:w="1524" w:type="dxa"/>
            <w:tcBorders>
              <w:top w:val="nil"/>
              <w:left w:val="nil"/>
              <w:bottom w:val="nil"/>
              <w:right w:val="nil"/>
            </w:tcBorders>
            <w:noWrap/>
            <w:vAlign w:val="center"/>
            <w:hideMark/>
          </w:tcPr>
          <w:p w14:paraId="42405F99"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3AA0531D"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8</w:t>
            </w:r>
          </w:p>
        </w:tc>
        <w:tc>
          <w:tcPr>
            <w:tcW w:w="1418" w:type="dxa"/>
            <w:tcBorders>
              <w:top w:val="nil"/>
              <w:left w:val="nil"/>
              <w:bottom w:val="nil"/>
              <w:right w:val="nil"/>
            </w:tcBorders>
            <w:noWrap/>
            <w:vAlign w:val="center"/>
            <w:hideMark/>
          </w:tcPr>
          <w:p w14:paraId="33A153E8" w14:textId="1F945C00"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6</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20%</w:t>
            </w:r>
          </w:p>
        </w:tc>
      </w:tr>
      <w:tr w:rsidR="00153408" w:rsidRPr="0099292E" w14:paraId="2527F759" w14:textId="77777777" w:rsidTr="00EF42DC">
        <w:trPr>
          <w:trHeight w:val="290"/>
        </w:trPr>
        <w:tc>
          <w:tcPr>
            <w:tcW w:w="4536" w:type="dxa"/>
            <w:tcBorders>
              <w:top w:val="nil"/>
              <w:left w:val="nil"/>
              <w:bottom w:val="nil"/>
              <w:right w:val="nil"/>
            </w:tcBorders>
            <w:noWrap/>
            <w:vAlign w:val="center"/>
            <w:hideMark/>
          </w:tcPr>
          <w:p w14:paraId="1B0B673C"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Managerial Ownership</w:t>
            </w:r>
          </w:p>
        </w:tc>
        <w:tc>
          <w:tcPr>
            <w:tcW w:w="1524" w:type="dxa"/>
            <w:tcBorders>
              <w:top w:val="nil"/>
              <w:left w:val="nil"/>
              <w:bottom w:val="nil"/>
              <w:right w:val="nil"/>
            </w:tcBorders>
            <w:noWrap/>
            <w:vAlign w:val="center"/>
            <w:hideMark/>
          </w:tcPr>
          <w:p w14:paraId="1F841BAD"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2A267C23"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7</w:t>
            </w:r>
          </w:p>
        </w:tc>
        <w:tc>
          <w:tcPr>
            <w:tcW w:w="1418" w:type="dxa"/>
            <w:tcBorders>
              <w:top w:val="nil"/>
              <w:left w:val="nil"/>
              <w:bottom w:val="nil"/>
              <w:right w:val="nil"/>
            </w:tcBorders>
            <w:noWrap/>
            <w:vAlign w:val="center"/>
            <w:hideMark/>
          </w:tcPr>
          <w:p w14:paraId="21751EB6" w14:textId="4DACE3D4"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43%</w:t>
            </w:r>
          </w:p>
        </w:tc>
      </w:tr>
      <w:tr w:rsidR="00153408" w:rsidRPr="0099292E" w14:paraId="436A6E11" w14:textId="77777777" w:rsidTr="00EF42DC">
        <w:trPr>
          <w:trHeight w:val="290"/>
        </w:trPr>
        <w:tc>
          <w:tcPr>
            <w:tcW w:w="4536" w:type="dxa"/>
            <w:tcBorders>
              <w:top w:val="nil"/>
              <w:left w:val="nil"/>
              <w:bottom w:val="nil"/>
              <w:right w:val="nil"/>
            </w:tcBorders>
            <w:noWrap/>
            <w:vAlign w:val="center"/>
            <w:hideMark/>
          </w:tcPr>
          <w:p w14:paraId="0948D2E6"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Corporate Governance</w:t>
            </w:r>
          </w:p>
        </w:tc>
        <w:tc>
          <w:tcPr>
            <w:tcW w:w="1524" w:type="dxa"/>
            <w:tcBorders>
              <w:top w:val="nil"/>
              <w:left w:val="nil"/>
              <w:bottom w:val="nil"/>
              <w:right w:val="nil"/>
            </w:tcBorders>
            <w:noWrap/>
            <w:vAlign w:val="center"/>
            <w:hideMark/>
          </w:tcPr>
          <w:p w14:paraId="49CF728F"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366AA9D9"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418" w:type="dxa"/>
            <w:tcBorders>
              <w:top w:val="nil"/>
              <w:left w:val="nil"/>
              <w:bottom w:val="nil"/>
              <w:right w:val="nil"/>
            </w:tcBorders>
            <w:noWrap/>
            <w:vAlign w:val="center"/>
            <w:hideMark/>
          </w:tcPr>
          <w:p w14:paraId="3502B1C4" w14:textId="1A17A29C"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88%</w:t>
            </w:r>
          </w:p>
        </w:tc>
      </w:tr>
      <w:tr w:rsidR="00153408" w:rsidRPr="0099292E" w14:paraId="68107F20" w14:textId="77777777" w:rsidTr="00EF42DC">
        <w:trPr>
          <w:trHeight w:val="290"/>
        </w:trPr>
        <w:tc>
          <w:tcPr>
            <w:tcW w:w="4536" w:type="dxa"/>
            <w:tcBorders>
              <w:top w:val="nil"/>
              <w:left w:val="nil"/>
              <w:bottom w:val="nil"/>
              <w:right w:val="nil"/>
            </w:tcBorders>
            <w:noWrap/>
            <w:vAlign w:val="center"/>
            <w:hideMark/>
          </w:tcPr>
          <w:p w14:paraId="650D4F0D"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Management Compensation</w:t>
            </w:r>
          </w:p>
        </w:tc>
        <w:tc>
          <w:tcPr>
            <w:tcW w:w="1524" w:type="dxa"/>
            <w:tcBorders>
              <w:top w:val="nil"/>
              <w:left w:val="nil"/>
              <w:bottom w:val="nil"/>
              <w:right w:val="nil"/>
            </w:tcBorders>
            <w:noWrap/>
            <w:vAlign w:val="center"/>
            <w:hideMark/>
          </w:tcPr>
          <w:p w14:paraId="4A9E8D7F"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3FA730EE"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418" w:type="dxa"/>
            <w:tcBorders>
              <w:top w:val="nil"/>
              <w:left w:val="nil"/>
              <w:bottom w:val="nil"/>
              <w:right w:val="nil"/>
            </w:tcBorders>
            <w:noWrap/>
            <w:vAlign w:val="center"/>
            <w:hideMark/>
          </w:tcPr>
          <w:p w14:paraId="0C0CF49A" w14:textId="1FA9F55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88%</w:t>
            </w:r>
          </w:p>
        </w:tc>
      </w:tr>
      <w:tr w:rsidR="00153408" w:rsidRPr="0099292E" w14:paraId="13E97463" w14:textId="77777777" w:rsidTr="00EF42DC">
        <w:trPr>
          <w:trHeight w:val="290"/>
        </w:trPr>
        <w:tc>
          <w:tcPr>
            <w:tcW w:w="4536" w:type="dxa"/>
            <w:tcBorders>
              <w:top w:val="nil"/>
              <w:left w:val="nil"/>
              <w:bottom w:val="nil"/>
              <w:right w:val="nil"/>
            </w:tcBorders>
            <w:noWrap/>
            <w:vAlign w:val="center"/>
            <w:hideMark/>
          </w:tcPr>
          <w:p w14:paraId="5BE9DDE4"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ESG Scores</w:t>
            </w:r>
          </w:p>
        </w:tc>
        <w:tc>
          <w:tcPr>
            <w:tcW w:w="1524" w:type="dxa"/>
            <w:tcBorders>
              <w:top w:val="nil"/>
              <w:left w:val="nil"/>
              <w:bottom w:val="nil"/>
              <w:right w:val="nil"/>
            </w:tcBorders>
            <w:noWrap/>
            <w:vAlign w:val="center"/>
            <w:hideMark/>
          </w:tcPr>
          <w:p w14:paraId="35F269EB"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2FD61A0A"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p>
        </w:tc>
        <w:tc>
          <w:tcPr>
            <w:tcW w:w="1418" w:type="dxa"/>
            <w:tcBorders>
              <w:top w:val="nil"/>
              <w:left w:val="nil"/>
              <w:bottom w:val="nil"/>
              <w:right w:val="nil"/>
            </w:tcBorders>
            <w:noWrap/>
            <w:vAlign w:val="center"/>
            <w:hideMark/>
          </w:tcPr>
          <w:p w14:paraId="43B1B7EA" w14:textId="69F498D4"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88%</w:t>
            </w:r>
          </w:p>
        </w:tc>
      </w:tr>
      <w:tr w:rsidR="00153408" w:rsidRPr="0099292E" w14:paraId="517DB8A3" w14:textId="77777777" w:rsidTr="00EF42DC">
        <w:trPr>
          <w:trHeight w:val="290"/>
        </w:trPr>
        <w:tc>
          <w:tcPr>
            <w:tcW w:w="4536" w:type="dxa"/>
            <w:tcBorders>
              <w:top w:val="nil"/>
              <w:left w:val="nil"/>
              <w:bottom w:val="nil"/>
              <w:right w:val="nil"/>
            </w:tcBorders>
            <w:noWrap/>
            <w:vAlign w:val="center"/>
            <w:hideMark/>
          </w:tcPr>
          <w:p w14:paraId="7E22AE69"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Gender Diversity</w:t>
            </w:r>
          </w:p>
        </w:tc>
        <w:tc>
          <w:tcPr>
            <w:tcW w:w="1524" w:type="dxa"/>
            <w:tcBorders>
              <w:top w:val="nil"/>
              <w:left w:val="nil"/>
              <w:bottom w:val="nil"/>
              <w:right w:val="nil"/>
            </w:tcBorders>
            <w:noWrap/>
            <w:vAlign w:val="center"/>
            <w:hideMark/>
          </w:tcPr>
          <w:p w14:paraId="1389F80B"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2EFD8840"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p>
        </w:tc>
        <w:tc>
          <w:tcPr>
            <w:tcW w:w="1418" w:type="dxa"/>
            <w:tcBorders>
              <w:top w:val="nil"/>
              <w:left w:val="nil"/>
              <w:bottom w:val="nil"/>
              <w:right w:val="nil"/>
            </w:tcBorders>
            <w:noWrap/>
            <w:vAlign w:val="center"/>
            <w:hideMark/>
          </w:tcPr>
          <w:p w14:paraId="4F60D950" w14:textId="4B19B331"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10%</w:t>
            </w:r>
          </w:p>
        </w:tc>
      </w:tr>
      <w:tr w:rsidR="00153408" w:rsidRPr="0099292E" w14:paraId="2ADC2BF5" w14:textId="77777777" w:rsidTr="00EF42DC">
        <w:trPr>
          <w:trHeight w:val="290"/>
        </w:trPr>
        <w:tc>
          <w:tcPr>
            <w:tcW w:w="4536" w:type="dxa"/>
            <w:tcBorders>
              <w:top w:val="nil"/>
              <w:left w:val="nil"/>
              <w:bottom w:val="nil"/>
              <w:right w:val="nil"/>
            </w:tcBorders>
            <w:noWrap/>
            <w:vAlign w:val="center"/>
            <w:hideMark/>
          </w:tcPr>
          <w:p w14:paraId="5F21389A"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Family Ownership</w:t>
            </w:r>
          </w:p>
        </w:tc>
        <w:tc>
          <w:tcPr>
            <w:tcW w:w="1524" w:type="dxa"/>
            <w:tcBorders>
              <w:top w:val="nil"/>
              <w:left w:val="nil"/>
              <w:bottom w:val="nil"/>
              <w:right w:val="nil"/>
            </w:tcBorders>
            <w:noWrap/>
            <w:vAlign w:val="center"/>
            <w:hideMark/>
          </w:tcPr>
          <w:p w14:paraId="188561A9"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50005195"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4</w:t>
            </w:r>
          </w:p>
        </w:tc>
        <w:tc>
          <w:tcPr>
            <w:tcW w:w="1418" w:type="dxa"/>
            <w:tcBorders>
              <w:top w:val="nil"/>
              <w:left w:val="nil"/>
              <w:bottom w:val="nil"/>
              <w:right w:val="nil"/>
            </w:tcBorders>
            <w:noWrap/>
            <w:vAlign w:val="center"/>
            <w:hideMark/>
          </w:tcPr>
          <w:p w14:paraId="37469C05" w14:textId="6CA00E0F"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10%</w:t>
            </w:r>
          </w:p>
        </w:tc>
      </w:tr>
      <w:tr w:rsidR="00153408" w:rsidRPr="0099292E" w14:paraId="4D9C2CA0" w14:textId="77777777" w:rsidTr="00EF42DC">
        <w:trPr>
          <w:trHeight w:val="290"/>
        </w:trPr>
        <w:tc>
          <w:tcPr>
            <w:tcW w:w="4536" w:type="dxa"/>
            <w:tcBorders>
              <w:top w:val="nil"/>
              <w:left w:val="nil"/>
              <w:bottom w:val="nil"/>
              <w:right w:val="nil"/>
            </w:tcBorders>
            <w:noWrap/>
            <w:vAlign w:val="center"/>
            <w:hideMark/>
          </w:tcPr>
          <w:p w14:paraId="5B8F1C0F"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Sustainability Report Disclosure</w:t>
            </w:r>
          </w:p>
        </w:tc>
        <w:tc>
          <w:tcPr>
            <w:tcW w:w="1524" w:type="dxa"/>
            <w:tcBorders>
              <w:top w:val="nil"/>
              <w:left w:val="nil"/>
              <w:bottom w:val="nil"/>
              <w:right w:val="nil"/>
            </w:tcBorders>
            <w:noWrap/>
            <w:vAlign w:val="center"/>
            <w:hideMark/>
          </w:tcPr>
          <w:p w14:paraId="1C346549"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Environmental</w:t>
            </w:r>
          </w:p>
        </w:tc>
        <w:tc>
          <w:tcPr>
            <w:tcW w:w="1419" w:type="dxa"/>
            <w:tcBorders>
              <w:top w:val="nil"/>
              <w:left w:val="nil"/>
              <w:bottom w:val="nil"/>
              <w:right w:val="nil"/>
            </w:tcBorders>
            <w:noWrap/>
            <w:vAlign w:val="center"/>
            <w:hideMark/>
          </w:tcPr>
          <w:p w14:paraId="211E6256"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418" w:type="dxa"/>
            <w:tcBorders>
              <w:top w:val="nil"/>
              <w:left w:val="nil"/>
              <w:bottom w:val="nil"/>
              <w:right w:val="nil"/>
            </w:tcBorders>
            <w:noWrap/>
            <w:vAlign w:val="center"/>
            <w:hideMark/>
          </w:tcPr>
          <w:p w14:paraId="25AF354A" w14:textId="18C5BC85"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55%</w:t>
            </w:r>
          </w:p>
        </w:tc>
      </w:tr>
      <w:tr w:rsidR="00153408" w:rsidRPr="0099292E" w14:paraId="63548907" w14:textId="77777777" w:rsidTr="00EF42DC">
        <w:trPr>
          <w:trHeight w:val="290"/>
        </w:trPr>
        <w:tc>
          <w:tcPr>
            <w:tcW w:w="4536" w:type="dxa"/>
            <w:tcBorders>
              <w:top w:val="nil"/>
              <w:left w:val="nil"/>
              <w:bottom w:val="nil"/>
              <w:right w:val="nil"/>
            </w:tcBorders>
            <w:noWrap/>
            <w:vAlign w:val="center"/>
            <w:hideMark/>
          </w:tcPr>
          <w:p w14:paraId="7B68E0AB"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CEO Tenure</w:t>
            </w:r>
          </w:p>
        </w:tc>
        <w:tc>
          <w:tcPr>
            <w:tcW w:w="1524" w:type="dxa"/>
            <w:tcBorders>
              <w:top w:val="nil"/>
              <w:left w:val="nil"/>
              <w:bottom w:val="nil"/>
              <w:right w:val="nil"/>
            </w:tcBorders>
            <w:noWrap/>
            <w:vAlign w:val="center"/>
            <w:hideMark/>
          </w:tcPr>
          <w:p w14:paraId="01800B91"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nil"/>
              <w:right w:val="nil"/>
            </w:tcBorders>
            <w:noWrap/>
            <w:vAlign w:val="center"/>
            <w:hideMark/>
          </w:tcPr>
          <w:p w14:paraId="28486E81"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1418" w:type="dxa"/>
            <w:tcBorders>
              <w:top w:val="nil"/>
              <w:left w:val="nil"/>
              <w:bottom w:val="nil"/>
              <w:right w:val="nil"/>
            </w:tcBorders>
            <w:noWrap/>
            <w:vAlign w:val="center"/>
            <w:hideMark/>
          </w:tcPr>
          <w:p w14:paraId="7DC40082" w14:textId="054544E4"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55%</w:t>
            </w:r>
          </w:p>
        </w:tc>
      </w:tr>
      <w:tr w:rsidR="00153408" w:rsidRPr="0099292E" w14:paraId="0E6CB46B" w14:textId="77777777" w:rsidTr="00EF42DC">
        <w:trPr>
          <w:trHeight w:val="290"/>
        </w:trPr>
        <w:tc>
          <w:tcPr>
            <w:tcW w:w="4536" w:type="dxa"/>
            <w:tcBorders>
              <w:top w:val="nil"/>
              <w:left w:val="nil"/>
              <w:right w:val="nil"/>
            </w:tcBorders>
            <w:noWrap/>
            <w:vAlign w:val="center"/>
            <w:hideMark/>
          </w:tcPr>
          <w:p w14:paraId="3D19B546"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Environmental Uncertainty</w:t>
            </w:r>
          </w:p>
        </w:tc>
        <w:tc>
          <w:tcPr>
            <w:tcW w:w="1524" w:type="dxa"/>
            <w:tcBorders>
              <w:top w:val="nil"/>
              <w:left w:val="nil"/>
              <w:right w:val="nil"/>
            </w:tcBorders>
            <w:noWrap/>
            <w:vAlign w:val="center"/>
            <w:hideMark/>
          </w:tcPr>
          <w:p w14:paraId="1E4C0F34"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Environmental</w:t>
            </w:r>
          </w:p>
        </w:tc>
        <w:tc>
          <w:tcPr>
            <w:tcW w:w="1419" w:type="dxa"/>
            <w:tcBorders>
              <w:top w:val="nil"/>
              <w:left w:val="nil"/>
              <w:right w:val="nil"/>
            </w:tcBorders>
            <w:noWrap/>
            <w:vAlign w:val="center"/>
            <w:hideMark/>
          </w:tcPr>
          <w:p w14:paraId="66F01062"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418" w:type="dxa"/>
            <w:tcBorders>
              <w:top w:val="nil"/>
              <w:left w:val="nil"/>
              <w:right w:val="nil"/>
            </w:tcBorders>
            <w:noWrap/>
            <w:vAlign w:val="center"/>
            <w:hideMark/>
          </w:tcPr>
          <w:p w14:paraId="22B17F48" w14:textId="71C95618"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0</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78%</w:t>
            </w:r>
          </w:p>
        </w:tc>
      </w:tr>
      <w:tr w:rsidR="00153408" w:rsidRPr="0099292E" w14:paraId="65BB0C2C" w14:textId="77777777" w:rsidTr="00EF42DC">
        <w:trPr>
          <w:trHeight w:val="290"/>
        </w:trPr>
        <w:tc>
          <w:tcPr>
            <w:tcW w:w="4536" w:type="dxa"/>
            <w:tcBorders>
              <w:top w:val="nil"/>
              <w:left w:val="nil"/>
              <w:bottom w:val="single" w:sz="4" w:space="0" w:color="auto"/>
              <w:right w:val="nil"/>
            </w:tcBorders>
            <w:noWrap/>
            <w:vAlign w:val="center"/>
            <w:hideMark/>
          </w:tcPr>
          <w:p w14:paraId="7B521661" w14:textId="5EC97228"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Transparency</w:t>
            </w:r>
          </w:p>
        </w:tc>
        <w:tc>
          <w:tcPr>
            <w:tcW w:w="1524" w:type="dxa"/>
            <w:tcBorders>
              <w:top w:val="nil"/>
              <w:left w:val="nil"/>
              <w:bottom w:val="single" w:sz="4" w:space="0" w:color="auto"/>
              <w:right w:val="nil"/>
            </w:tcBorders>
            <w:noWrap/>
            <w:vAlign w:val="center"/>
            <w:hideMark/>
          </w:tcPr>
          <w:p w14:paraId="17317935" w14:textId="77777777" w:rsidR="00153408" w:rsidRPr="0099292E" w:rsidRDefault="00153408" w:rsidP="00153408">
            <w:pPr>
              <w:spacing w:after="0" w:line="240" w:lineRule="auto"/>
              <w:rPr>
                <w:rFonts w:ascii="Times New Roman" w:eastAsia="Times New Roman" w:hAnsi="Times New Roman" w:cs="Times New Roman"/>
                <w:color w:val="000000"/>
              </w:rPr>
            </w:pPr>
            <w:r w:rsidRPr="0099292E">
              <w:rPr>
                <w:rFonts w:ascii="Times New Roman" w:eastAsia="Times New Roman" w:hAnsi="Times New Roman" w:cs="Times New Roman"/>
                <w:color w:val="000000"/>
              </w:rPr>
              <w:t>Governance</w:t>
            </w:r>
          </w:p>
        </w:tc>
        <w:tc>
          <w:tcPr>
            <w:tcW w:w="1419" w:type="dxa"/>
            <w:tcBorders>
              <w:top w:val="nil"/>
              <w:left w:val="nil"/>
              <w:bottom w:val="single" w:sz="4" w:space="0" w:color="auto"/>
              <w:right w:val="nil"/>
            </w:tcBorders>
            <w:noWrap/>
            <w:vAlign w:val="center"/>
            <w:hideMark/>
          </w:tcPr>
          <w:p w14:paraId="6003A45E" w14:textId="77777777"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1418" w:type="dxa"/>
            <w:tcBorders>
              <w:top w:val="nil"/>
              <w:left w:val="nil"/>
              <w:bottom w:val="single" w:sz="4" w:space="0" w:color="auto"/>
              <w:right w:val="nil"/>
            </w:tcBorders>
            <w:noWrap/>
            <w:vAlign w:val="center"/>
            <w:hideMark/>
          </w:tcPr>
          <w:p w14:paraId="06C59A3F" w14:textId="08B69763" w:rsidR="00153408" w:rsidRPr="0099292E" w:rsidRDefault="00153408" w:rsidP="00153408">
            <w:pPr>
              <w:spacing w:after="0" w:line="240" w:lineRule="auto"/>
              <w:jc w:val="right"/>
              <w:rPr>
                <w:rFonts w:ascii="Times New Roman" w:eastAsia="Times New Roman" w:hAnsi="Times New Roman" w:cs="Times New Roman"/>
                <w:color w:val="000000"/>
              </w:rPr>
            </w:pPr>
            <w:r w:rsidRPr="0099292E">
              <w:rPr>
                <w:rFonts w:ascii="Times New Roman" w:eastAsia="Times New Roman" w:hAnsi="Times New Roman" w:cs="Times New Roman"/>
                <w:color w:val="000000"/>
              </w:rPr>
              <w:t>0</w:t>
            </w:r>
            <w:r w:rsidR="005C371E" w:rsidRPr="0099292E">
              <w:rPr>
                <w:rFonts w:ascii="Times New Roman" w:eastAsia="Times New Roman" w:hAnsi="Times New Roman" w:cs="Times New Roman"/>
                <w:color w:val="000000"/>
              </w:rPr>
              <w:t>.</w:t>
            </w:r>
            <w:r w:rsidRPr="0099292E">
              <w:rPr>
                <w:rFonts w:ascii="Times New Roman" w:eastAsia="Times New Roman" w:hAnsi="Times New Roman" w:cs="Times New Roman"/>
                <w:color w:val="000000"/>
              </w:rPr>
              <w:t>78%</w:t>
            </w:r>
          </w:p>
        </w:tc>
      </w:tr>
    </w:tbl>
    <w:p w14:paraId="52E31B98" w14:textId="77777777" w:rsidR="00FA5873" w:rsidRPr="0099292E" w:rsidRDefault="00FA5873" w:rsidP="00542793">
      <w:pPr>
        <w:spacing w:after="0"/>
        <w:contextualSpacing/>
        <w:jc w:val="both"/>
        <w:rPr>
          <w:rFonts w:ascii="Times New Roman" w:eastAsia="Times New Roman" w:hAnsi="Times New Roman" w:cs="Times New Roman"/>
          <w:bCs/>
          <w:iCs/>
          <w:sz w:val="24"/>
          <w:szCs w:val="24"/>
        </w:rPr>
      </w:pPr>
    </w:p>
    <w:p w14:paraId="522C1C6E" w14:textId="5CCAB399" w:rsidR="00A171FB" w:rsidRPr="00F428C4" w:rsidRDefault="00A171FB" w:rsidP="00F428C4">
      <w:pPr>
        <w:spacing w:after="0"/>
        <w:ind w:firstLine="426"/>
        <w:contextualSpacing/>
        <w:jc w:val="both"/>
        <w:rPr>
          <w:rFonts w:ascii="Times New Roman" w:hAnsi="Times New Roman" w:cs="Times New Roman"/>
          <w:sz w:val="24"/>
          <w:szCs w:val="24"/>
        </w:rPr>
      </w:pPr>
      <w:r w:rsidRPr="00F428C4">
        <w:rPr>
          <w:rFonts w:ascii="Times New Roman" w:hAnsi="Times New Roman" w:cs="Times New Roman"/>
          <w:sz w:val="24"/>
          <w:szCs w:val="24"/>
        </w:rPr>
        <w:t xml:space="preserve">Table </w:t>
      </w:r>
      <w:r w:rsidR="001F50EF" w:rsidRPr="00F428C4">
        <w:rPr>
          <w:rFonts w:ascii="Times New Roman" w:hAnsi="Times New Roman" w:cs="Times New Roman"/>
          <w:sz w:val="24"/>
          <w:szCs w:val="24"/>
        </w:rPr>
        <w:t>7</w:t>
      </w:r>
      <w:r w:rsidR="009A08C3" w:rsidRPr="00F428C4">
        <w:rPr>
          <w:rFonts w:ascii="Times New Roman" w:hAnsi="Times New Roman" w:cs="Times New Roman"/>
          <w:sz w:val="24"/>
          <w:szCs w:val="24"/>
        </w:rPr>
        <w:t xml:space="preserve"> shows</w:t>
      </w:r>
      <w:r w:rsidRPr="00F428C4">
        <w:rPr>
          <w:rFonts w:ascii="Times New Roman" w:hAnsi="Times New Roman" w:cs="Times New Roman"/>
          <w:sz w:val="24"/>
          <w:szCs w:val="24"/>
        </w:rPr>
        <w:t xml:space="preserve"> that the most prominent variable as a proxy for the ESG pillar is Institutional Ownership</w:t>
      </w:r>
      <w:r w:rsidR="00603AA3" w:rsidRPr="00F428C4">
        <w:rPr>
          <w:rFonts w:ascii="Times New Roman" w:hAnsi="Times New Roman" w:cs="Times New Roman"/>
          <w:sz w:val="24"/>
          <w:szCs w:val="24"/>
        </w:rPr>
        <w:t xml:space="preserve">, </w:t>
      </w:r>
      <w:r w:rsidRPr="00F428C4">
        <w:rPr>
          <w:rFonts w:ascii="Times New Roman" w:hAnsi="Times New Roman" w:cs="Times New Roman"/>
          <w:sz w:val="24"/>
          <w:szCs w:val="24"/>
        </w:rPr>
        <w:t xml:space="preserve">followed by </w:t>
      </w:r>
      <w:r w:rsidR="00153408" w:rsidRPr="00F428C4">
        <w:rPr>
          <w:rFonts w:ascii="Times New Roman" w:hAnsi="Times New Roman" w:cs="Times New Roman"/>
          <w:sz w:val="24"/>
          <w:szCs w:val="24"/>
        </w:rPr>
        <w:t>Audit Committee</w:t>
      </w:r>
      <w:r w:rsidRPr="00F428C4">
        <w:rPr>
          <w:rFonts w:ascii="Times New Roman" w:hAnsi="Times New Roman" w:cs="Times New Roman"/>
          <w:sz w:val="24"/>
          <w:szCs w:val="24"/>
        </w:rPr>
        <w:t xml:space="preserve"> and </w:t>
      </w:r>
      <w:r w:rsidR="00153408" w:rsidRPr="00F428C4">
        <w:rPr>
          <w:rFonts w:ascii="Times New Roman" w:hAnsi="Times New Roman" w:cs="Times New Roman"/>
          <w:sz w:val="24"/>
          <w:szCs w:val="24"/>
        </w:rPr>
        <w:t>Independent Commissioner</w:t>
      </w:r>
      <w:r w:rsidRPr="00F428C4">
        <w:rPr>
          <w:rFonts w:ascii="Times New Roman" w:hAnsi="Times New Roman" w:cs="Times New Roman"/>
          <w:sz w:val="24"/>
          <w:szCs w:val="24"/>
        </w:rPr>
        <w:t xml:space="preserve">. </w:t>
      </w:r>
      <w:r w:rsidR="00710CF4" w:rsidRPr="00F428C4">
        <w:rPr>
          <w:rFonts w:ascii="Times New Roman" w:hAnsi="Times New Roman" w:cs="Times New Roman"/>
          <w:sz w:val="24"/>
          <w:szCs w:val="24"/>
        </w:rPr>
        <w:t xml:space="preserve">This finding explicitly reflects that the aspect of Governance is the focus </w:t>
      </w:r>
      <w:r w:rsidR="00CF2ACB" w:rsidRPr="00F428C4">
        <w:rPr>
          <w:rFonts w:ascii="Times New Roman" w:hAnsi="Times New Roman" w:cs="Times New Roman"/>
          <w:sz w:val="24"/>
          <w:szCs w:val="24"/>
        </w:rPr>
        <w:t>of research in</w:t>
      </w:r>
      <w:r w:rsidR="00710CF4" w:rsidRPr="00F428C4">
        <w:rPr>
          <w:rFonts w:ascii="Times New Roman" w:hAnsi="Times New Roman" w:cs="Times New Roman"/>
          <w:sz w:val="24"/>
          <w:szCs w:val="24"/>
        </w:rPr>
        <w:t xml:space="preserve"> the relationship between ESG and tax avoidance in Indonesia</w:t>
      </w:r>
      <w:r w:rsidRPr="00F428C4">
        <w:rPr>
          <w:rFonts w:ascii="Times New Roman" w:hAnsi="Times New Roman" w:cs="Times New Roman"/>
          <w:sz w:val="24"/>
          <w:szCs w:val="24"/>
        </w:rPr>
        <w:t>. Various variables related to</w:t>
      </w:r>
      <w:r w:rsidR="00153408" w:rsidRPr="00F428C4">
        <w:rPr>
          <w:rFonts w:ascii="Times New Roman" w:hAnsi="Times New Roman" w:cs="Times New Roman"/>
          <w:sz w:val="24"/>
          <w:szCs w:val="24"/>
        </w:rPr>
        <w:t xml:space="preserve"> executive </w:t>
      </w:r>
      <w:r w:rsidR="00CF2ACB" w:rsidRPr="00F428C4">
        <w:rPr>
          <w:rFonts w:ascii="Times New Roman" w:hAnsi="Times New Roman" w:cs="Times New Roman"/>
          <w:sz w:val="24"/>
          <w:szCs w:val="24"/>
        </w:rPr>
        <w:t>characteristics</w:t>
      </w:r>
      <w:r w:rsidRPr="00F428C4">
        <w:rPr>
          <w:rFonts w:ascii="Times New Roman" w:hAnsi="Times New Roman" w:cs="Times New Roman"/>
          <w:sz w:val="24"/>
          <w:szCs w:val="24"/>
        </w:rPr>
        <w:t xml:space="preserve">, </w:t>
      </w:r>
      <w:r w:rsidR="00153408" w:rsidRPr="00F428C4">
        <w:rPr>
          <w:rFonts w:ascii="Times New Roman" w:hAnsi="Times New Roman" w:cs="Times New Roman"/>
          <w:sz w:val="24"/>
          <w:szCs w:val="24"/>
        </w:rPr>
        <w:t>political connections</w:t>
      </w:r>
      <w:r w:rsidRPr="00F428C4">
        <w:rPr>
          <w:rFonts w:ascii="Times New Roman" w:hAnsi="Times New Roman" w:cs="Times New Roman"/>
          <w:sz w:val="24"/>
          <w:szCs w:val="24"/>
        </w:rPr>
        <w:t xml:space="preserve">, and </w:t>
      </w:r>
      <w:r w:rsidR="00153408" w:rsidRPr="00F428C4">
        <w:rPr>
          <w:rFonts w:ascii="Times New Roman" w:hAnsi="Times New Roman" w:cs="Times New Roman"/>
          <w:sz w:val="24"/>
          <w:szCs w:val="24"/>
        </w:rPr>
        <w:t>audit quality</w:t>
      </w:r>
      <w:r w:rsidRPr="00F428C4">
        <w:rPr>
          <w:rFonts w:ascii="Times New Roman" w:hAnsi="Times New Roman" w:cs="Times New Roman"/>
          <w:sz w:val="24"/>
          <w:szCs w:val="24"/>
        </w:rPr>
        <w:t xml:space="preserve"> are </w:t>
      </w:r>
      <w:r w:rsidR="009A08C3" w:rsidRPr="00F428C4">
        <w:rPr>
          <w:rFonts w:ascii="Times New Roman" w:hAnsi="Times New Roman" w:cs="Times New Roman"/>
          <w:sz w:val="24"/>
          <w:szCs w:val="24"/>
        </w:rPr>
        <w:t>essential</w:t>
      </w:r>
      <w:r w:rsidRPr="00F428C4">
        <w:rPr>
          <w:rFonts w:ascii="Times New Roman" w:hAnsi="Times New Roman" w:cs="Times New Roman"/>
          <w:sz w:val="24"/>
          <w:szCs w:val="24"/>
        </w:rPr>
        <w:t xml:space="preserve"> indicators in </w:t>
      </w:r>
      <w:r w:rsidRPr="00F428C4">
        <w:rPr>
          <w:rFonts w:ascii="Times New Roman" w:hAnsi="Times New Roman" w:cs="Times New Roman"/>
          <w:sz w:val="24"/>
          <w:szCs w:val="24"/>
        </w:rPr>
        <w:lastRenderedPageBreak/>
        <w:t>the Governance pillar that are consistently considered relevant in influencing corporate tax avoidance decisions. The relatively easy availability of data for these variables, as well as the regulatory emphasis on governance aspects, likely contribute to this dominance.</w:t>
      </w:r>
      <w:r w:rsidR="00153408" w:rsidRPr="00F428C4">
        <w:rPr>
          <w:rFonts w:ascii="Times New Roman" w:hAnsi="Times New Roman" w:cs="Times New Roman"/>
          <w:sz w:val="24"/>
          <w:szCs w:val="24"/>
        </w:rPr>
        <w:t xml:space="preserve"> CSR is the only social pillar that influences tax avoidance. Nevertheless, </w:t>
      </w:r>
      <w:r w:rsidR="00B7636D" w:rsidRPr="00F428C4">
        <w:rPr>
          <w:rFonts w:ascii="Times New Roman" w:hAnsi="Times New Roman" w:cs="Times New Roman"/>
          <w:sz w:val="24"/>
          <w:szCs w:val="24"/>
        </w:rPr>
        <w:t>a considerable portion of the studies, specifically 13 articles, examine the impact of CSR on tax avoidance</w:t>
      </w:r>
      <w:r w:rsidR="00153408" w:rsidRPr="00F428C4">
        <w:rPr>
          <w:rFonts w:ascii="Times New Roman" w:hAnsi="Times New Roman" w:cs="Times New Roman"/>
          <w:sz w:val="24"/>
          <w:szCs w:val="24"/>
        </w:rPr>
        <w:t>.</w:t>
      </w:r>
    </w:p>
    <w:p w14:paraId="6F59B56A" w14:textId="34F3A8C1" w:rsidR="0020282E" w:rsidRPr="00F428C4" w:rsidRDefault="00A171FB" w:rsidP="00B46924">
      <w:pPr>
        <w:spacing w:after="0"/>
        <w:ind w:firstLine="426"/>
        <w:contextualSpacing/>
        <w:jc w:val="both"/>
        <w:rPr>
          <w:rFonts w:ascii="Times New Roman" w:hAnsi="Times New Roman" w:cs="Times New Roman"/>
          <w:sz w:val="24"/>
          <w:szCs w:val="24"/>
        </w:rPr>
      </w:pPr>
      <w:r w:rsidRPr="00F428C4">
        <w:rPr>
          <w:rFonts w:ascii="Times New Roman" w:hAnsi="Times New Roman" w:cs="Times New Roman"/>
          <w:sz w:val="24"/>
          <w:szCs w:val="24"/>
        </w:rPr>
        <w:t xml:space="preserve">Furthermore, Table </w:t>
      </w:r>
      <w:r w:rsidR="001F50EF" w:rsidRPr="00F428C4">
        <w:rPr>
          <w:rFonts w:ascii="Times New Roman" w:hAnsi="Times New Roman" w:cs="Times New Roman"/>
          <w:sz w:val="24"/>
          <w:szCs w:val="24"/>
        </w:rPr>
        <w:t>8</w:t>
      </w:r>
      <w:r w:rsidRPr="00F428C4">
        <w:rPr>
          <w:rFonts w:ascii="Times New Roman" w:hAnsi="Times New Roman" w:cs="Times New Roman"/>
          <w:sz w:val="24"/>
          <w:szCs w:val="24"/>
        </w:rPr>
        <w:t xml:space="preserve"> classifies the proxies from Table </w:t>
      </w:r>
      <w:r w:rsidR="00DC4588" w:rsidRPr="00F428C4">
        <w:rPr>
          <w:rFonts w:ascii="Times New Roman" w:hAnsi="Times New Roman" w:cs="Times New Roman"/>
          <w:sz w:val="24"/>
          <w:szCs w:val="24"/>
        </w:rPr>
        <w:t>7</w:t>
      </w:r>
      <w:r w:rsidRPr="00F428C4">
        <w:rPr>
          <w:rFonts w:ascii="Times New Roman" w:hAnsi="Times New Roman" w:cs="Times New Roman"/>
          <w:sz w:val="24"/>
          <w:szCs w:val="24"/>
        </w:rPr>
        <w:t xml:space="preserve"> into the corresponding ESG pillars (Environmental, Social, and Governance), while showing the contribution of each pillar to the total occurrence of the proxies.</w:t>
      </w:r>
    </w:p>
    <w:p w14:paraId="5FEC99E6" w14:textId="77777777" w:rsidR="00A171FB" w:rsidRPr="0099292E" w:rsidRDefault="00A171FB" w:rsidP="00B46924">
      <w:pPr>
        <w:spacing w:after="0"/>
        <w:ind w:firstLine="426"/>
        <w:contextualSpacing/>
        <w:jc w:val="both"/>
        <w:rPr>
          <w:rFonts w:ascii="Times New Roman" w:eastAsia="Times New Roman" w:hAnsi="Times New Roman" w:cs="Times New Roman"/>
          <w:bCs/>
          <w:iCs/>
          <w:sz w:val="24"/>
          <w:szCs w:val="24"/>
        </w:rPr>
      </w:pPr>
    </w:p>
    <w:p w14:paraId="0D4650D6" w14:textId="6E1AA15F" w:rsidR="005D7561" w:rsidRPr="006C1ECD" w:rsidRDefault="005D7561" w:rsidP="00B46924">
      <w:pPr>
        <w:pStyle w:val="Caption"/>
        <w:keepNext/>
        <w:spacing w:after="0" w:line="276" w:lineRule="auto"/>
        <w:contextualSpacing/>
        <w:jc w:val="center"/>
        <w:rPr>
          <w:rFonts w:ascii="Times New Roman" w:hAnsi="Times New Roman" w:cs="Times New Roman"/>
          <w:b/>
          <w:bCs/>
          <w:i w:val="0"/>
          <w:iCs w:val="0"/>
          <w:color w:val="000000" w:themeColor="text1"/>
          <w:sz w:val="24"/>
          <w:szCs w:val="24"/>
        </w:rPr>
      </w:pPr>
      <w:r w:rsidRPr="006C1ECD">
        <w:rPr>
          <w:rFonts w:ascii="Times New Roman" w:hAnsi="Times New Roman" w:cs="Times New Roman"/>
          <w:b/>
          <w:bCs/>
          <w:i w:val="0"/>
          <w:iCs w:val="0"/>
          <w:color w:val="000000" w:themeColor="text1"/>
          <w:sz w:val="24"/>
          <w:szCs w:val="24"/>
        </w:rPr>
        <w:t>Tab</w:t>
      </w:r>
      <w:r w:rsidR="00A171FB" w:rsidRPr="006C1ECD">
        <w:rPr>
          <w:rFonts w:ascii="Times New Roman" w:hAnsi="Times New Roman" w:cs="Times New Roman"/>
          <w:b/>
          <w:bCs/>
          <w:i w:val="0"/>
          <w:iCs w:val="0"/>
          <w:color w:val="000000" w:themeColor="text1"/>
          <w:sz w:val="24"/>
          <w:szCs w:val="24"/>
        </w:rPr>
        <w:t>le</w:t>
      </w:r>
      <w:r w:rsidRPr="006C1ECD">
        <w:rPr>
          <w:rFonts w:ascii="Times New Roman" w:hAnsi="Times New Roman" w:cs="Times New Roman"/>
          <w:b/>
          <w:bCs/>
          <w:i w:val="0"/>
          <w:iCs w:val="0"/>
          <w:color w:val="000000" w:themeColor="text1"/>
          <w:sz w:val="24"/>
          <w:szCs w:val="24"/>
        </w:rPr>
        <w:t xml:space="preserve"> </w:t>
      </w:r>
      <w:r w:rsidR="001F50EF" w:rsidRPr="006C1ECD">
        <w:rPr>
          <w:rFonts w:ascii="Times New Roman" w:hAnsi="Times New Roman" w:cs="Times New Roman"/>
          <w:b/>
          <w:bCs/>
          <w:i w:val="0"/>
          <w:iCs w:val="0"/>
          <w:color w:val="000000" w:themeColor="text1"/>
          <w:sz w:val="24"/>
          <w:szCs w:val="24"/>
        </w:rPr>
        <w:t>8</w:t>
      </w:r>
      <w:r w:rsidRPr="006C1ECD">
        <w:rPr>
          <w:rFonts w:ascii="Times New Roman" w:hAnsi="Times New Roman" w:cs="Times New Roman"/>
          <w:b/>
          <w:bCs/>
          <w:i w:val="0"/>
          <w:iCs w:val="0"/>
          <w:color w:val="000000" w:themeColor="text1"/>
          <w:sz w:val="24"/>
          <w:szCs w:val="24"/>
        </w:rPr>
        <w:t xml:space="preserve">. </w:t>
      </w:r>
      <w:r w:rsidR="00A171FB" w:rsidRPr="006C1ECD">
        <w:rPr>
          <w:rFonts w:ascii="Times New Roman" w:hAnsi="Times New Roman" w:cs="Times New Roman"/>
          <w:b/>
          <w:bCs/>
          <w:i w:val="0"/>
          <w:iCs w:val="0"/>
          <w:color w:val="000000" w:themeColor="text1"/>
          <w:sz w:val="24"/>
          <w:szCs w:val="24"/>
        </w:rPr>
        <w:t>Composition of ESG Pillars Examined</w:t>
      </w:r>
    </w:p>
    <w:tbl>
      <w:tblPr>
        <w:tblStyle w:val="PlainTable21"/>
        <w:tblW w:w="4941" w:type="pct"/>
        <w:tblLayout w:type="fixed"/>
        <w:tblLook w:val="04A0" w:firstRow="1" w:lastRow="0" w:firstColumn="1" w:lastColumn="0" w:noHBand="0" w:noVBand="1"/>
      </w:tblPr>
      <w:tblGrid>
        <w:gridCol w:w="1926"/>
        <w:gridCol w:w="1989"/>
        <w:gridCol w:w="1530"/>
        <w:gridCol w:w="1326"/>
        <w:gridCol w:w="2126"/>
      </w:tblGrid>
      <w:tr w:rsidR="007B2A34" w:rsidRPr="0099292E" w14:paraId="00E5E982" w14:textId="77777777" w:rsidTr="00EF42DC">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082" w:type="pct"/>
            <w:noWrap/>
            <w:vAlign w:val="center"/>
            <w:hideMark/>
          </w:tcPr>
          <w:p w14:paraId="5243ADA4" w14:textId="359AD91D" w:rsidR="007B2A34" w:rsidRPr="0099292E" w:rsidRDefault="007B2A34" w:rsidP="00EF42DC">
            <w:pPr>
              <w:jc w:val="center"/>
              <w:rPr>
                <w:rFonts w:ascii="Times New Roman" w:eastAsia="Times New Roman" w:hAnsi="Times New Roman" w:cs="Times New Roman"/>
                <w:color w:val="000000"/>
              </w:rPr>
            </w:pPr>
            <w:r w:rsidRPr="0099292E">
              <w:rPr>
                <w:rFonts w:ascii="Times New Roman" w:eastAsia="Times New Roman" w:hAnsi="Times New Roman" w:cs="Times New Roman"/>
                <w:color w:val="000000"/>
              </w:rPr>
              <w:t>Pil</w:t>
            </w:r>
            <w:r w:rsidR="00A171FB" w:rsidRPr="0099292E">
              <w:rPr>
                <w:rFonts w:ascii="Times New Roman" w:eastAsia="Times New Roman" w:hAnsi="Times New Roman" w:cs="Times New Roman"/>
                <w:color w:val="000000"/>
              </w:rPr>
              <w:t>l</w:t>
            </w:r>
            <w:r w:rsidRPr="0099292E">
              <w:rPr>
                <w:rFonts w:ascii="Times New Roman" w:eastAsia="Times New Roman" w:hAnsi="Times New Roman" w:cs="Times New Roman"/>
                <w:color w:val="000000"/>
              </w:rPr>
              <w:t>ar</w:t>
            </w:r>
          </w:p>
        </w:tc>
        <w:tc>
          <w:tcPr>
            <w:tcW w:w="1118" w:type="pct"/>
            <w:noWrap/>
            <w:vAlign w:val="center"/>
            <w:hideMark/>
          </w:tcPr>
          <w:p w14:paraId="09694A2B" w14:textId="2D913430" w:rsidR="007B2A34" w:rsidRPr="0099292E" w:rsidRDefault="00A171FB" w:rsidP="00EF42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Number of Proxies</w:t>
            </w:r>
          </w:p>
        </w:tc>
        <w:tc>
          <w:tcPr>
            <w:tcW w:w="860" w:type="pct"/>
            <w:noWrap/>
            <w:vAlign w:val="center"/>
            <w:hideMark/>
          </w:tcPr>
          <w:p w14:paraId="274F0214" w14:textId="30F346DD" w:rsidR="007B2A34" w:rsidRPr="0099292E" w:rsidRDefault="007B2A34" w:rsidP="00EF42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Per</w:t>
            </w:r>
            <w:r w:rsidR="00A171FB" w:rsidRPr="0099292E">
              <w:rPr>
                <w:rFonts w:ascii="Times New Roman" w:eastAsia="Times New Roman" w:hAnsi="Times New Roman" w:cs="Times New Roman"/>
                <w:color w:val="000000"/>
              </w:rPr>
              <w:t>c</w:t>
            </w:r>
            <w:r w:rsidRPr="0099292E">
              <w:rPr>
                <w:rFonts w:ascii="Times New Roman" w:eastAsia="Times New Roman" w:hAnsi="Times New Roman" w:cs="Times New Roman"/>
                <w:color w:val="000000"/>
              </w:rPr>
              <w:t>enta</w:t>
            </w:r>
            <w:r w:rsidR="00A171FB" w:rsidRPr="0099292E">
              <w:rPr>
                <w:rFonts w:ascii="Times New Roman" w:eastAsia="Times New Roman" w:hAnsi="Times New Roman" w:cs="Times New Roman"/>
                <w:color w:val="000000"/>
              </w:rPr>
              <w:t>g</w:t>
            </w:r>
            <w:r w:rsidRPr="0099292E">
              <w:rPr>
                <w:rFonts w:ascii="Times New Roman" w:eastAsia="Times New Roman" w:hAnsi="Times New Roman" w:cs="Times New Roman"/>
                <w:color w:val="000000"/>
              </w:rPr>
              <w:t>e</w:t>
            </w:r>
          </w:p>
        </w:tc>
        <w:tc>
          <w:tcPr>
            <w:tcW w:w="745" w:type="pct"/>
            <w:noWrap/>
            <w:vAlign w:val="center"/>
            <w:hideMark/>
          </w:tcPr>
          <w:p w14:paraId="1D0F846C" w14:textId="5592349F" w:rsidR="007B2A34" w:rsidRPr="0099292E" w:rsidRDefault="00A171FB" w:rsidP="00EF42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Number of Articles</w:t>
            </w:r>
          </w:p>
        </w:tc>
        <w:tc>
          <w:tcPr>
            <w:tcW w:w="1195" w:type="pct"/>
            <w:noWrap/>
            <w:vAlign w:val="center"/>
            <w:hideMark/>
          </w:tcPr>
          <w:p w14:paraId="7757DDD3" w14:textId="28E8A05E" w:rsidR="007B2A34" w:rsidRPr="0099292E" w:rsidRDefault="00A171FB" w:rsidP="00EF42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Percentage</w:t>
            </w:r>
          </w:p>
        </w:tc>
      </w:tr>
      <w:tr w:rsidR="007B2A34" w:rsidRPr="0099292E" w14:paraId="1DE07A1A" w14:textId="77777777" w:rsidTr="00EF42D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82" w:type="pct"/>
            <w:tcBorders>
              <w:bottom w:val="nil"/>
            </w:tcBorders>
            <w:noWrap/>
            <w:hideMark/>
          </w:tcPr>
          <w:p w14:paraId="0F3BCB77" w14:textId="77777777" w:rsidR="007B2A34" w:rsidRPr="0099292E" w:rsidRDefault="007B2A34" w:rsidP="00B46924">
            <w:pPr>
              <w:rPr>
                <w:rFonts w:ascii="Times New Roman" w:eastAsia="Times New Roman" w:hAnsi="Times New Roman" w:cs="Times New Roman"/>
                <w:b w:val="0"/>
                <w:bCs w:val="0"/>
                <w:i/>
                <w:iCs/>
                <w:color w:val="000000"/>
              </w:rPr>
            </w:pPr>
            <w:r w:rsidRPr="0099292E">
              <w:rPr>
                <w:rFonts w:ascii="Times New Roman" w:eastAsia="Times New Roman" w:hAnsi="Times New Roman" w:cs="Times New Roman"/>
                <w:b w:val="0"/>
                <w:bCs w:val="0"/>
                <w:i/>
                <w:iCs/>
                <w:color w:val="000000"/>
              </w:rPr>
              <w:t>Governance</w:t>
            </w:r>
          </w:p>
        </w:tc>
        <w:tc>
          <w:tcPr>
            <w:tcW w:w="1118" w:type="pct"/>
            <w:tcBorders>
              <w:bottom w:val="nil"/>
            </w:tcBorders>
            <w:noWrap/>
            <w:hideMark/>
          </w:tcPr>
          <w:p w14:paraId="03F9404B" w14:textId="705AE80D" w:rsidR="007B2A34" w:rsidRPr="0099292E" w:rsidRDefault="007B2A34"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153408" w:rsidRPr="0099292E">
              <w:rPr>
                <w:rFonts w:ascii="Times New Roman" w:eastAsia="Times New Roman" w:hAnsi="Times New Roman" w:cs="Times New Roman"/>
                <w:color w:val="000000"/>
              </w:rPr>
              <w:t>4</w:t>
            </w:r>
          </w:p>
        </w:tc>
        <w:tc>
          <w:tcPr>
            <w:tcW w:w="860" w:type="pct"/>
            <w:tcBorders>
              <w:bottom w:val="nil"/>
            </w:tcBorders>
            <w:noWrap/>
            <w:hideMark/>
          </w:tcPr>
          <w:p w14:paraId="0C2434BC" w14:textId="02F55E9F" w:rsidR="007B2A34" w:rsidRPr="0099292E" w:rsidRDefault="007B2A34"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8</w:t>
            </w:r>
            <w:r w:rsidR="00153408" w:rsidRPr="0099292E">
              <w:rPr>
                <w:rFonts w:ascii="Times New Roman" w:eastAsia="Times New Roman" w:hAnsi="Times New Roman" w:cs="Times New Roman"/>
                <w:color w:val="000000"/>
              </w:rPr>
              <w:t>2,35</w:t>
            </w:r>
            <w:r w:rsidRPr="0099292E">
              <w:rPr>
                <w:rFonts w:ascii="Times New Roman" w:eastAsia="Times New Roman" w:hAnsi="Times New Roman" w:cs="Times New Roman"/>
                <w:color w:val="000000"/>
              </w:rPr>
              <w:t>%</w:t>
            </w:r>
          </w:p>
        </w:tc>
        <w:tc>
          <w:tcPr>
            <w:tcW w:w="745" w:type="pct"/>
            <w:tcBorders>
              <w:bottom w:val="nil"/>
            </w:tcBorders>
            <w:noWrap/>
            <w:hideMark/>
          </w:tcPr>
          <w:p w14:paraId="6407C3F5" w14:textId="41EEE0F2" w:rsidR="007B2A34" w:rsidRPr="0099292E" w:rsidRDefault="007B2A34"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153408" w:rsidRPr="0099292E">
              <w:rPr>
                <w:rFonts w:ascii="Times New Roman" w:eastAsia="Times New Roman" w:hAnsi="Times New Roman" w:cs="Times New Roman"/>
                <w:color w:val="000000"/>
              </w:rPr>
              <w:t>13</w:t>
            </w:r>
          </w:p>
        </w:tc>
        <w:tc>
          <w:tcPr>
            <w:tcW w:w="1195" w:type="pct"/>
            <w:tcBorders>
              <w:bottom w:val="nil"/>
            </w:tcBorders>
            <w:noWrap/>
            <w:hideMark/>
          </w:tcPr>
          <w:p w14:paraId="18F58448" w14:textId="737E1A2A" w:rsidR="007B2A34" w:rsidRPr="0099292E" w:rsidRDefault="007B2A34"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8</w:t>
            </w:r>
            <w:r w:rsidR="00153408" w:rsidRPr="0099292E">
              <w:rPr>
                <w:rFonts w:ascii="Times New Roman" w:eastAsia="Times New Roman" w:hAnsi="Times New Roman" w:cs="Times New Roman"/>
                <w:color w:val="000000"/>
              </w:rPr>
              <w:t>7,60</w:t>
            </w:r>
            <w:r w:rsidRPr="0099292E">
              <w:rPr>
                <w:rFonts w:ascii="Times New Roman" w:eastAsia="Times New Roman" w:hAnsi="Times New Roman" w:cs="Times New Roman"/>
                <w:color w:val="000000"/>
              </w:rPr>
              <w:t>%</w:t>
            </w:r>
          </w:p>
        </w:tc>
      </w:tr>
      <w:tr w:rsidR="007B2A34" w:rsidRPr="0099292E" w14:paraId="68649298" w14:textId="77777777" w:rsidTr="00EF42DC">
        <w:trPr>
          <w:trHeight w:val="290"/>
        </w:trPr>
        <w:tc>
          <w:tcPr>
            <w:cnfStyle w:val="001000000000" w:firstRow="0" w:lastRow="0" w:firstColumn="1" w:lastColumn="0" w:oddVBand="0" w:evenVBand="0" w:oddHBand="0" w:evenHBand="0" w:firstRowFirstColumn="0" w:firstRowLastColumn="0" w:lastRowFirstColumn="0" w:lastRowLastColumn="0"/>
            <w:tcW w:w="1082" w:type="pct"/>
            <w:tcBorders>
              <w:top w:val="nil"/>
              <w:bottom w:val="nil"/>
            </w:tcBorders>
            <w:noWrap/>
            <w:hideMark/>
          </w:tcPr>
          <w:p w14:paraId="47B8F6E9" w14:textId="77777777" w:rsidR="007B2A34" w:rsidRPr="0099292E" w:rsidRDefault="007B2A34" w:rsidP="00B46924">
            <w:pPr>
              <w:rPr>
                <w:rFonts w:ascii="Times New Roman" w:eastAsia="Times New Roman" w:hAnsi="Times New Roman" w:cs="Times New Roman"/>
                <w:b w:val="0"/>
                <w:bCs w:val="0"/>
                <w:i/>
                <w:iCs/>
                <w:color w:val="000000"/>
              </w:rPr>
            </w:pPr>
            <w:r w:rsidRPr="0099292E">
              <w:rPr>
                <w:rFonts w:ascii="Times New Roman" w:eastAsia="Times New Roman" w:hAnsi="Times New Roman" w:cs="Times New Roman"/>
                <w:b w:val="0"/>
                <w:bCs w:val="0"/>
                <w:i/>
                <w:iCs/>
                <w:color w:val="000000"/>
              </w:rPr>
              <w:t>Social</w:t>
            </w:r>
          </w:p>
        </w:tc>
        <w:tc>
          <w:tcPr>
            <w:tcW w:w="1118" w:type="pct"/>
            <w:tcBorders>
              <w:top w:val="nil"/>
              <w:bottom w:val="nil"/>
            </w:tcBorders>
            <w:noWrap/>
            <w:hideMark/>
          </w:tcPr>
          <w:p w14:paraId="1DE51CB7" w14:textId="77777777" w:rsidR="007B2A34" w:rsidRPr="0099292E" w:rsidRDefault="007B2A34" w:rsidP="00B469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p>
        </w:tc>
        <w:tc>
          <w:tcPr>
            <w:tcW w:w="860" w:type="pct"/>
            <w:tcBorders>
              <w:top w:val="nil"/>
              <w:bottom w:val="nil"/>
            </w:tcBorders>
            <w:noWrap/>
            <w:hideMark/>
          </w:tcPr>
          <w:p w14:paraId="798B6AAC" w14:textId="0F326236" w:rsidR="007B2A34" w:rsidRPr="0099292E" w:rsidRDefault="007B2A34" w:rsidP="00B469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5,</w:t>
            </w:r>
            <w:r w:rsidR="00153408" w:rsidRPr="0099292E">
              <w:rPr>
                <w:rFonts w:ascii="Times New Roman" w:eastAsia="Times New Roman" w:hAnsi="Times New Roman" w:cs="Times New Roman"/>
                <w:color w:val="000000"/>
              </w:rPr>
              <w:t>88</w:t>
            </w:r>
            <w:r w:rsidRPr="0099292E">
              <w:rPr>
                <w:rFonts w:ascii="Times New Roman" w:eastAsia="Times New Roman" w:hAnsi="Times New Roman" w:cs="Times New Roman"/>
                <w:color w:val="000000"/>
              </w:rPr>
              <w:t>%</w:t>
            </w:r>
          </w:p>
        </w:tc>
        <w:tc>
          <w:tcPr>
            <w:tcW w:w="745" w:type="pct"/>
            <w:tcBorders>
              <w:top w:val="nil"/>
              <w:bottom w:val="nil"/>
            </w:tcBorders>
            <w:noWrap/>
            <w:hideMark/>
          </w:tcPr>
          <w:p w14:paraId="748852A6" w14:textId="6664247B" w:rsidR="007B2A34" w:rsidRPr="0099292E" w:rsidRDefault="007B2A34" w:rsidP="00B469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153408" w:rsidRPr="0099292E">
              <w:rPr>
                <w:rFonts w:ascii="Times New Roman" w:eastAsia="Times New Roman" w:hAnsi="Times New Roman" w:cs="Times New Roman"/>
                <w:color w:val="000000"/>
              </w:rPr>
              <w:t>3</w:t>
            </w:r>
          </w:p>
        </w:tc>
        <w:tc>
          <w:tcPr>
            <w:tcW w:w="1195" w:type="pct"/>
            <w:tcBorders>
              <w:top w:val="nil"/>
              <w:bottom w:val="nil"/>
            </w:tcBorders>
            <w:noWrap/>
            <w:hideMark/>
          </w:tcPr>
          <w:p w14:paraId="2CD7A869" w14:textId="2D6EAD85" w:rsidR="007B2A34" w:rsidRPr="0099292E" w:rsidRDefault="007B2A34" w:rsidP="00B469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10,</w:t>
            </w:r>
            <w:r w:rsidR="00153408" w:rsidRPr="0099292E">
              <w:rPr>
                <w:rFonts w:ascii="Times New Roman" w:eastAsia="Times New Roman" w:hAnsi="Times New Roman" w:cs="Times New Roman"/>
                <w:color w:val="000000"/>
              </w:rPr>
              <w:t>08</w:t>
            </w:r>
            <w:r w:rsidRPr="0099292E">
              <w:rPr>
                <w:rFonts w:ascii="Times New Roman" w:eastAsia="Times New Roman" w:hAnsi="Times New Roman" w:cs="Times New Roman"/>
                <w:color w:val="000000"/>
              </w:rPr>
              <w:t>%</w:t>
            </w:r>
          </w:p>
        </w:tc>
      </w:tr>
      <w:tr w:rsidR="007B2A34" w:rsidRPr="0099292E" w14:paraId="70E96E94" w14:textId="77777777" w:rsidTr="00EF42D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82" w:type="pct"/>
            <w:tcBorders>
              <w:top w:val="nil"/>
            </w:tcBorders>
            <w:noWrap/>
            <w:hideMark/>
          </w:tcPr>
          <w:p w14:paraId="7558B1E0" w14:textId="77777777" w:rsidR="007B2A34" w:rsidRPr="0099292E" w:rsidRDefault="007B2A34" w:rsidP="00B46924">
            <w:pPr>
              <w:rPr>
                <w:rFonts w:ascii="Times New Roman" w:eastAsia="Times New Roman" w:hAnsi="Times New Roman" w:cs="Times New Roman"/>
                <w:b w:val="0"/>
                <w:bCs w:val="0"/>
                <w:i/>
                <w:iCs/>
                <w:color w:val="000000"/>
              </w:rPr>
            </w:pPr>
            <w:r w:rsidRPr="0099292E">
              <w:rPr>
                <w:rFonts w:ascii="Times New Roman" w:eastAsia="Times New Roman" w:hAnsi="Times New Roman" w:cs="Times New Roman"/>
                <w:b w:val="0"/>
                <w:bCs w:val="0"/>
                <w:i/>
                <w:iCs/>
                <w:color w:val="000000"/>
              </w:rPr>
              <w:t>Environmental</w:t>
            </w:r>
          </w:p>
        </w:tc>
        <w:tc>
          <w:tcPr>
            <w:tcW w:w="1118" w:type="pct"/>
            <w:tcBorders>
              <w:top w:val="nil"/>
            </w:tcBorders>
            <w:noWrap/>
            <w:hideMark/>
          </w:tcPr>
          <w:p w14:paraId="66ACC45A" w14:textId="77777777" w:rsidR="007B2A34" w:rsidRPr="0099292E" w:rsidRDefault="007B2A34"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w:t>
            </w:r>
          </w:p>
        </w:tc>
        <w:tc>
          <w:tcPr>
            <w:tcW w:w="860" w:type="pct"/>
            <w:tcBorders>
              <w:top w:val="nil"/>
            </w:tcBorders>
            <w:noWrap/>
            <w:hideMark/>
          </w:tcPr>
          <w:p w14:paraId="0CF592C8" w14:textId="12508FF6" w:rsidR="007B2A34" w:rsidRPr="0099292E" w:rsidRDefault="007B2A34"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1</w:t>
            </w:r>
            <w:r w:rsidR="00153408" w:rsidRPr="0099292E">
              <w:rPr>
                <w:rFonts w:ascii="Times New Roman" w:eastAsia="Times New Roman" w:hAnsi="Times New Roman" w:cs="Times New Roman"/>
                <w:color w:val="000000"/>
              </w:rPr>
              <w:t>1,76</w:t>
            </w:r>
            <w:r w:rsidRPr="0099292E">
              <w:rPr>
                <w:rFonts w:ascii="Times New Roman" w:eastAsia="Times New Roman" w:hAnsi="Times New Roman" w:cs="Times New Roman"/>
                <w:color w:val="000000"/>
              </w:rPr>
              <w:t>%</w:t>
            </w:r>
          </w:p>
        </w:tc>
        <w:tc>
          <w:tcPr>
            <w:tcW w:w="745" w:type="pct"/>
            <w:tcBorders>
              <w:top w:val="nil"/>
            </w:tcBorders>
            <w:noWrap/>
            <w:hideMark/>
          </w:tcPr>
          <w:p w14:paraId="440CAD37" w14:textId="4A878529" w:rsidR="007B2A34" w:rsidRPr="0099292E" w:rsidRDefault="00153408"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3</w:t>
            </w:r>
          </w:p>
        </w:tc>
        <w:tc>
          <w:tcPr>
            <w:tcW w:w="1195" w:type="pct"/>
            <w:tcBorders>
              <w:top w:val="nil"/>
            </w:tcBorders>
            <w:noWrap/>
            <w:hideMark/>
          </w:tcPr>
          <w:p w14:paraId="355DF76A" w14:textId="48C2A2AC" w:rsidR="007B2A34" w:rsidRPr="0099292E" w:rsidRDefault="00153408" w:rsidP="00B469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9292E">
              <w:rPr>
                <w:rFonts w:ascii="Times New Roman" w:eastAsia="Times New Roman" w:hAnsi="Times New Roman" w:cs="Times New Roman"/>
                <w:color w:val="000000"/>
              </w:rPr>
              <w:t>2,33</w:t>
            </w:r>
            <w:r w:rsidR="007B2A34" w:rsidRPr="0099292E">
              <w:rPr>
                <w:rFonts w:ascii="Times New Roman" w:eastAsia="Times New Roman" w:hAnsi="Times New Roman" w:cs="Times New Roman"/>
                <w:color w:val="000000"/>
              </w:rPr>
              <w:t>%</w:t>
            </w:r>
          </w:p>
        </w:tc>
      </w:tr>
    </w:tbl>
    <w:p w14:paraId="1B0CE990" w14:textId="3F7254B0" w:rsidR="00682E8B" w:rsidRPr="0099292E" w:rsidRDefault="00682E8B" w:rsidP="00B46924">
      <w:pPr>
        <w:spacing w:before="100" w:beforeAutospacing="1" w:after="100" w:afterAutospacing="1"/>
        <w:contextualSpacing/>
        <w:jc w:val="both"/>
        <w:rPr>
          <w:rFonts w:ascii="Times New Roman" w:eastAsia="Times New Roman" w:hAnsi="Times New Roman" w:cs="Times New Roman"/>
          <w:bCs/>
          <w:iCs/>
          <w:sz w:val="24"/>
          <w:szCs w:val="24"/>
        </w:rPr>
      </w:pPr>
    </w:p>
    <w:p w14:paraId="2635DA27" w14:textId="03964457" w:rsidR="00682E8B" w:rsidRPr="0099292E" w:rsidRDefault="00682E8B" w:rsidP="00B46924">
      <w:pPr>
        <w:spacing w:before="100" w:beforeAutospacing="1" w:after="100" w:afterAutospacing="1"/>
        <w:contextualSpacing/>
        <w:jc w:val="both"/>
        <w:rPr>
          <w:rFonts w:ascii="Times New Roman" w:eastAsia="Times New Roman" w:hAnsi="Times New Roman" w:cs="Times New Roman"/>
          <w:bCs/>
          <w:iCs/>
          <w:sz w:val="24"/>
          <w:szCs w:val="24"/>
        </w:rPr>
        <w:sectPr w:rsidR="00682E8B" w:rsidRPr="0099292E" w:rsidSect="00357B5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701" w:header="737" w:footer="567" w:gutter="0"/>
          <w:pgNumType w:start="243"/>
          <w:cols w:space="720"/>
          <w:titlePg/>
          <w:docGrid w:linePitch="299"/>
        </w:sectPr>
      </w:pPr>
    </w:p>
    <w:p w14:paraId="684BAA30" w14:textId="77777777" w:rsidR="00682E8B" w:rsidRPr="0099292E" w:rsidRDefault="007E43BF" w:rsidP="0079424E">
      <w:pPr>
        <w:keepNext/>
        <w:spacing w:after="0" w:line="240" w:lineRule="auto"/>
        <w:contextualSpacing/>
        <w:jc w:val="both"/>
      </w:pPr>
      <w:r w:rsidRPr="0099292E">
        <w:rPr>
          <w:rFonts w:ascii="Times New Roman" w:eastAsia="Times New Roman" w:hAnsi="Times New Roman" w:cs="Times New Roman"/>
          <w:bCs/>
          <w:iCs/>
          <w:noProof/>
          <w:sz w:val="24"/>
          <w:szCs w:val="24"/>
        </w:rPr>
        <w:drawing>
          <wp:inline distT="0" distB="0" distL="0" distR="0" wp14:anchorId="39ECD461" wp14:editId="52421EBC">
            <wp:extent cx="2831465" cy="1651635"/>
            <wp:effectExtent l="0" t="0" r="6985" b="5715"/>
            <wp:docPr id="126488037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106F4D" w14:textId="4748AEC7" w:rsidR="007E43BF" w:rsidRPr="0099292E" w:rsidRDefault="00682E8B" w:rsidP="0079424E">
      <w:pPr>
        <w:pStyle w:val="Caption"/>
        <w:spacing w:after="0"/>
        <w:jc w:val="center"/>
        <w:rPr>
          <w:rFonts w:ascii="Times New Roman" w:eastAsia="Times New Roman" w:hAnsi="Times New Roman" w:cs="Times New Roman"/>
          <w:b/>
          <w:bCs/>
          <w:i w:val="0"/>
          <w:iCs w:val="0"/>
          <w:color w:val="auto"/>
          <w:sz w:val="32"/>
          <w:szCs w:val="32"/>
        </w:rPr>
      </w:pPr>
      <w:r w:rsidRPr="0099292E">
        <w:rPr>
          <w:rFonts w:ascii="Times New Roman" w:hAnsi="Times New Roman" w:cs="Times New Roman"/>
          <w:b/>
          <w:bCs/>
          <w:i w:val="0"/>
          <w:iCs w:val="0"/>
          <w:color w:val="auto"/>
          <w:sz w:val="22"/>
          <w:szCs w:val="22"/>
        </w:rPr>
        <w:t xml:space="preserve">Figure </w:t>
      </w:r>
      <w:r w:rsidRPr="0099292E">
        <w:rPr>
          <w:rFonts w:ascii="Times New Roman" w:hAnsi="Times New Roman" w:cs="Times New Roman"/>
          <w:b/>
          <w:bCs/>
          <w:i w:val="0"/>
          <w:iCs w:val="0"/>
          <w:color w:val="auto"/>
          <w:sz w:val="22"/>
          <w:szCs w:val="22"/>
        </w:rPr>
        <w:fldChar w:fldCharType="begin"/>
      </w:r>
      <w:r w:rsidRPr="0099292E">
        <w:rPr>
          <w:rFonts w:ascii="Times New Roman" w:hAnsi="Times New Roman" w:cs="Times New Roman"/>
          <w:b/>
          <w:bCs/>
          <w:i w:val="0"/>
          <w:iCs w:val="0"/>
          <w:color w:val="auto"/>
          <w:sz w:val="22"/>
          <w:szCs w:val="22"/>
        </w:rPr>
        <w:instrText xml:space="preserve"> SEQ Figure \* ARABIC </w:instrText>
      </w:r>
      <w:r w:rsidRPr="0099292E">
        <w:rPr>
          <w:rFonts w:ascii="Times New Roman" w:hAnsi="Times New Roman" w:cs="Times New Roman"/>
          <w:b/>
          <w:bCs/>
          <w:i w:val="0"/>
          <w:iCs w:val="0"/>
          <w:color w:val="auto"/>
          <w:sz w:val="22"/>
          <w:szCs w:val="22"/>
        </w:rPr>
        <w:fldChar w:fldCharType="separate"/>
      </w:r>
      <w:r w:rsidR="00140DA1">
        <w:rPr>
          <w:rFonts w:ascii="Times New Roman" w:hAnsi="Times New Roman" w:cs="Times New Roman"/>
          <w:b/>
          <w:bCs/>
          <w:i w:val="0"/>
          <w:iCs w:val="0"/>
          <w:noProof/>
          <w:color w:val="auto"/>
          <w:sz w:val="22"/>
          <w:szCs w:val="22"/>
        </w:rPr>
        <w:t>2</w:t>
      </w:r>
      <w:r w:rsidRPr="0099292E">
        <w:rPr>
          <w:rFonts w:ascii="Times New Roman" w:hAnsi="Times New Roman" w:cs="Times New Roman"/>
          <w:b/>
          <w:bCs/>
          <w:i w:val="0"/>
          <w:iCs w:val="0"/>
          <w:color w:val="auto"/>
          <w:sz w:val="22"/>
          <w:szCs w:val="22"/>
        </w:rPr>
        <w:fldChar w:fldCharType="end"/>
      </w:r>
      <w:r w:rsidRPr="0099292E">
        <w:rPr>
          <w:rFonts w:ascii="Times New Roman" w:hAnsi="Times New Roman" w:cs="Times New Roman"/>
          <w:b/>
          <w:bCs/>
          <w:i w:val="0"/>
          <w:iCs w:val="0"/>
          <w:color w:val="auto"/>
          <w:sz w:val="22"/>
          <w:szCs w:val="22"/>
        </w:rPr>
        <w:t>. ESG Pillar Dominance Diagram Based on Proxy</w:t>
      </w:r>
    </w:p>
    <w:p w14:paraId="424EA5FB" w14:textId="77777777" w:rsidR="00682E8B" w:rsidRPr="0099292E" w:rsidRDefault="007E43BF" w:rsidP="0079424E">
      <w:pPr>
        <w:keepNext/>
        <w:spacing w:after="0" w:line="240" w:lineRule="auto"/>
        <w:contextualSpacing/>
        <w:jc w:val="both"/>
      </w:pPr>
      <w:r w:rsidRPr="0099292E">
        <w:rPr>
          <w:rFonts w:ascii="Times New Roman" w:eastAsia="Times New Roman" w:hAnsi="Times New Roman" w:cs="Times New Roman"/>
          <w:bCs/>
          <w:iCs/>
          <w:noProof/>
          <w:sz w:val="24"/>
          <w:szCs w:val="24"/>
        </w:rPr>
        <w:drawing>
          <wp:inline distT="0" distB="0" distL="0" distR="0" wp14:anchorId="38DE1B67" wp14:editId="542C9604">
            <wp:extent cx="2831465" cy="1651635"/>
            <wp:effectExtent l="0" t="0" r="6985" b="5715"/>
            <wp:docPr id="14178834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1C43E3" w14:textId="1D65D1D8" w:rsidR="009D0C2E" w:rsidRDefault="00682E8B" w:rsidP="009D0C2E">
      <w:pPr>
        <w:pStyle w:val="Caption"/>
        <w:spacing w:after="0"/>
        <w:contextualSpacing/>
        <w:jc w:val="center"/>
        <w:rPr>
          <w:rFonts w:ascii="Times New Roman" w:hAnsi="Times New Roman" w:cs="Times New Roman"/>
          <w:b/>
          <w:bCs/>
          <w:i w:val="0"/>
          <w:iCs w:val="0"/>
          <w:color w:val="auto"/>
          <w:sz w:val="22"/>
          <w:szCs w:val="22"/>
        </w:rPr>
      </w:pPr>
      <w:r w:rsidRPr="0099292E">
        <w:rPr>
          <w:rFonts w:ascii="Times New Roman" w:hAnsi="Times New Roman" w:cs="Times New Roman"/>
          <w:b/>
          <w:bCs/>
          <w:i w:val="0"/>
          <w:iCs w:val="0"/>
          <w:color w:val="auto"/>
          <w:sz w:val="22"/>
          <w:szCs w:val="22"/>
        </w:rPr>
        <w:t xml:space="preserve">Figure </w:t>
      </w:r>
      <w:r w:rsidRPr="0099292E">
        <w:rPr>
          <w:rFonts w:ascii="Times New Roman" w:hAnsi="Times New Roman" w:cs="Times New Roman"/>
          <w:b/>
          <w:bCs/>
          <w:i w:val="0"/>
          <w:iCs w:val="0"/>
          <w:color w:val="auto"/>
          <w:sz w:val="22"/>
          <w:szCs w:val="22"/>
        </w:rPr>
        <w:fldChar w:fldCharType="begin"/>
      </w:r>
      <w:r w:rsidRPr="0099292E">
        <w:rPr>
          <w:rFonts w:ascii="Times New Roman" w:hAnsi="Times New Roman" w:cs="Times New Roman"/>
          <w:b/>
          <w:bCs/>
          <w:i w:val="0"/>
          <w:iCs w:val="0"/>
          <w:color w:val="auto"/>
          <w:sz w:val="22"/>
          <w:szCs w:val="22"/>
        </w:rPr>
        <w:instrText xml:space="preserve"> SEQ Figure \* ARABIC </w:instrText>
      </w:r>
      <w:r w:rsidRPr="0099292E">
        <w:rPr>
          <w:rFonts w:ascii="Times New Roman" w:hAnsi="Times New Roman" w:cs="Times New Roman"/>
          <w:b/>
          <w:bCs/>
          <w:i w:val="0"/>
          <w:iCs w:val="0"/>
          <w:color w:val="auto"/>
          <w:sz w:val="22"/>
          <w:szCs w:val="22"/>
        </w:rPr>
        <w:fldChar w:fldCharType="separate"/>
      </w:r>
      <w:r w:rsidR="00140DA1">
        <w:rPr>
          <w:rFonts w:ascii="Times New Roman" w:hAnsi="Times New Roman" w:cs="Times New Roman"/>
          <w:b/>
          <w:bCs/>
          <w:i w:val="0"/>
          <w:iCs w:val="0"/>
          <w:noProof/>
          <w:color w:val="auto"/>
          <w:sz w:val="22"/>
          <w:szCs w:val="22"/>
        </w:rPr>
        <w:t>3</w:t>
      </w:r>
      <w:r w:rsidRPr="0099292E">
        <w:rPr>
          <w:rFonts w:ascii="Times New Roman" w:hAnsi="Times New Roman" w:cs="Times New Roman"/>
          <w:b/>
          <w:bCs/>
          <w:i w:val="0"/>
          <w:iCs w:val="0"/>
          <w:color w:val="auto"/>
          <w:sz w:val="22"/>
          <w:szCs w:val="22"/>
        </w:rPr>
        <w:fldChar w:fldCharType="end"/>
      </w:r>
      <w:r w:rsidRPr="0099292E">
        <w:rPr>
          <w:rFonts w:ascii="Times New Roman" w:hAnsi="Times New Roman" w:cs="Times New Roman"/>
          <w:b/>
          <w:bCs/>
          <w:i w:val="0"/>
          <w:iCs w:val="0"/>
          <w:color w:val="auto"/>
          <w:sz w:val="22"/>
          <w:szCs w:val="22"/>
        </w:rPr>
        <w:t>. ESG Pillar Dominance Diagram Based on Article</w:t>
      </w:r>
    </w:p>
    <w:p w14:paraId="5BDE1B02" w14:textId="77777777" w:rsidR="009D0C2E" w:rsidRDefault="009D0C2E" w:rsidP="009D0C2E">
      <w:pPr>
        <w:spacing w:after="0"/>
        <w:contextualSpacing/>
      </w:pPr>
    </w:p>
    <w:p w14:paraId="7AFECBCD" w14:textId="07CEA606" w:rsidR="009D0C2E" w:rsidRPr="009D0C2E" w:rsidRDefault="009D0C2E" w:rsidP="009D0C2E">
      <w:pPr>
        <w:spacing w:after="0"/>
        <w:contextualSpacing/>
        <w:sectPr w:rsidR="009D0C2E" w:rsidRPr="009D0C2E" w:rsidSect="00B77FDA">
          <w:type w:val="continuous"/>
          <w:pgSz w:w="11906" w:h="16838"/>
          <w:pgMar w:top="1418" w:right="1418" w:bottom="1418" w:left="1701" w:header="709" w:footer="709" w:gutter="0"/>
          <w:cols w:num="2" w:space="720"/>
        </w:sectPr>
      </w:pPr>
    </w:p>
    <w:p w14:paraId="49FA80F0" w14:textId="152A73C2" w:rsidR="00C50ECD" w:rsidRPr="00571887" w:rsidRDefault="00C50ECD" w:rsidP="009D0C2E">
      <w:pPr>
        <w:spacing w:after="0"/>
        <w:ind w:firstLine="425"/>
        <w:contextualSpacing/>
        <w:jc w:val="both"/>
        <w:rPr>
          <w:rFonts w:ascii="Times New Roman" w:hAnsi="Times New Roman" w:cs="Times New Roman"/>
          <w:sz w:val="24"/>
          <w:szCs w:val="24"/>
        </w:rPr>
      </w:pPr>
      <w:r w:rsidRPr="0099292E">
        <w:rPr>
          <w:rFonts w:ascii="Times New Roman" w:hAnsi="Times New Roman" w:cs="Times New Roman"/>
          <w:sz w:val="24"/>
          <w:szCs w:val="24"/>
        </w:rPr>
        <w:t xml:space="preserve">Table </w:t>
      </w:r>
      <w:r w:rsidR="001F50EF" w:rsidRPr="0099292E">
        <w:rPr>
          <w:rFonts w:ascii="Times New Roman" w:hAnsi="Times New Roman" w:cs="Times New Roman"/>
          <w:sz w:val="24"/>
          <w:szCs w:val="24"/>
        </w:rPr>
        <w:t>8</w:t>
      </w:r>
      <w:r w:rsidRPr="0099292E">
        <w:rPr>
          <w:rFonts w:ascii="Times New Roman" w:hAnsi="Times New Roman" w:cs="Times New Roman"/>
          <w:sz w:val="24"/>
          <w:szCs w:val="24"/>
        </w:rPr>
        <w:t xml:space="preserve"> unequivocally confirms that the Governance pillar dominates the research discourse linking ESG with tax avoidance. As much as 8</w:t>
      </w:r>
      <w:r w:rsidR="00D21B9E" w:rsidRPr="0099292E">
        <w:rPr>
          <w:rFonts w:ascii="Times New Roman" w:hAnsi="Times New Roman" w:cs="Times New Roman"/>
          <w:sz w:val="24"/>
          <w:szCs w:val="24"/>
        </w:rPr>
        <w:t>2,35</w:t>
      </w:r>
      <w:r w:rsidRPr="0099292E">
        <w:rPr>
          <w:rFonts w:ascii="Times New Roman" w:hAnsi="Times New Roman" w:cs="Times New Roman"/>
          <w:sz w:val="24"/>
          <w:szCs w:val="24"/>
        </w:rPr>
        <w:t>% of the total proxies used and 8</w:t>
      </w:r>
      <w:r w:rsidR="00D21B9E" w:rsidRPr="0099292E">
        <w:rPr>
          <w:rFonts w:ascii="Times New Roman" w:hAnsi="Times New Roman" w:cs="Times New Roman"/>
          <w:sz w:val="24"/>
          <w:szCs w:val="24"/>
        </w:rPr>
        <w:t>7,60</w:t>
      </w:r>
      <w:r w:rsidRPr="0099292E">
        <w:rPr>
          <w:rFonts w:ascii="Times New Roman" w:hAnsi="Times New Roman" w:cs="Times New Roman"/>
          <w:sz w:val="24"/>
          <w:szCs w:val="24"/>
        </w:rPr>
        <w:t xml:space="preserve">% of the total proxy appearances in the sample articles are related to the Governance aspect. This phenomenon indicates that researchers in </w:t>
      </w:r>
      <w:r w:rsidRPr="00571887">
        <w:rPr>
          <w:rFonts w:ascii="Times New Roman" w:hAnsi="Times New Roman" w:cs="Times New Roman"/>
          <w:sz w:val="24"/>
          <w:szCs w:val="24"/>
        </w:rPr>
        <w:t xml:space="preserve">Indonesia tend to highlight how corporate governance structures and mechanisms affect aggressive tax strategies. This understanding is in line with the view that </w:t>
      </w:r>
      <w:r w:rsidR="00275AB2" w:rsidRPr="00571887">
        <w:rPr>
          <w:rFonts w:ascii="Times New Roman" w:hAnsi="Times New Roman" w:cs="Times New Roman"/>
          <w:sz w:val="24"/>
          <w:szCs w:val="24"/>
        </w:rPr>
        <w:t>emphasizes</w:t>
      </w:r>
      <w:r w:rsidRPr="00571887">
        <w:rPr>
          <w:rFonts w:ascii="Times New Roman" w:hAnsi="Times New Roman" w:cs="Times New Roman"/>
          <w:sz w:val="24"/>
          <w:szCs w:val="24"/>
        </w:rPr>
        <w:t xml:space="preserve"> the role of strong governance in reducing opportunities for tax avoidance through increased transparency and accountability</w:t>
      </w:r>
      <w:r w:rsidR="00301863" w:rsidRPr="00571887">
        <w:rPr>
          <w:rFonts w:ascii="Times New Roman" w:hAnsi="Times New Roman" w:cs="Times New Roman"/>
          <w:sz w:val="24"/>
          <w:szCs w:val="24"/>
        </w:rPr>
        <w:t xml:space="preserve"> </w:t>
      </w:r>
      <w:hyperlink w:anchor="Richardson" w:history="1">
        <w:r w:rsidR="00301863" w:rsidRPr="00571887">
          <w:rPr>
            <w:rStyle w:val="Hyperlink"/>
            <w:rFonts w:ascii="Times New Roman" w:hAnsi="Times New Roman" w:cs="Times New Roman"/>
            <w:sz w:val="24"/>
            <w:szCs w:val="24"/>
            <w:u w:val="none"/>
          </w:rPr>
          <w:fldChar w:fldCharType="begin" w:fldLock="1"/>
        </w:r>
        <w:r w:rsidR="00301863" w:rsidRPr="00571887">
          <w:rPr>
            <w:rStyle w:val="Hyperlink"/>
            <w:rFonts w:ascii="Times New Roman" w:hAnsi="Times New Roman" w:cs="Times New Roman"/>
            <w:sz w:val="24"/>
            <w:szCs w:val="24"/>
            <w:u w:val="none"/>
          </w:rPr>
          <w:instrText>ADDIN CSL_CITATION {"citationItems":[{"id":"ITEM-1","itemData":{"DOI":"10.1016/j.jbankfin.2014.11.013","ISSN":"03784266","abstract":"We examine financial distress and tax aggressiveness spanning the global financial crisis (GFC) of 2008 and the impact of the interaction between board independence and firm-specific financial distress on tax aggressiveness. Our regression results show that both financial distress and the GFC are positively associated with tax aggressiveness. More importantly, we find that the positive association between financial distress and tax aggressiveness is magnified by the GFC. We also observe that the interaction between board independence and financial distress is positively associated with tax aggressiveness. Our results are robust to multiple measures of financial distress and tax aggressiveness.","author":[{"dropping-particle":"","family":"Richardson","given":"Grant","non-dropping-particle":"","parse-names":false,"suffix":""},{"dropping-particle":"","family":"Lanis","given":"Roman","non-dropping-particle":"","parse-names":false,"suffix":""},{"dropping-particle":"","family":"Taylor","given":"Grantley","non-dropping-particle":"","parse-names":false,"suffix":""}],"container-title":"Journal of Banking and Finance","id":"ITEM-1","issued":{"date-parts":[["2015"]]},"page":"112-129","publisher":"Elsevier B.V.","title":"Financial distress, outside directors and corporate tax aggressiveness spanning the global financial crisis: An empirical analysis","type":"article-journal","volume":"52"},"uris":["http://www.mendeley.com/documents/?uuid=68b9db8f-3a13-4692-a235-3b311a2e8c21"]}],"mendeley":{"formattedCitation":"(Richardson et al., 2015)","plainTextFormattedCitation":"(Richardson et al., 2015)","previouslyFormattedCitation":"(Richardson et al., 2015)"},"properties":{"noteIndex":0},"schema":"https://github.com/citation-style-language/schema/raw/master/csl-citation.json"}</w:instrText>
        </w:r>
        <w:r w:rsidR="00301863" w:rsidRPr="00571887">
          <w:rPr>
            <w:rStyle w:val="Hyperlink"/>
            <w:rFonts w:ascii="Times New Roman" w:hAnsi="Times New Roman" w:cs="Times New Roman"/>
            <w:sz w:val="24"/>
            <w:szCs w:val="24"/>
            <w:u w:val="none"/>
          </w:rPr>
          <w:fldChar w:fldCharType="separate"/>
        </w:r>
        <w:r w:rsidR="00301863" w:rsidRPr="00571887">
          <w:rPr>
            <w:rStyle w:val="Hyperlink"/>
            <w:rFonts w:ascii="Times New Roman" w:hAnsi="Times New Roman" w:cs="Times New Roman"/>
            <w:noProof/>
            <w:sz w:val="24"/>
            <w:szCs w:val="24"/>
            <w:u w:val="none"/>
          </w:rPr>
          <w:t>(Richardson et al., 2015)</w:t>
        </w:r>
        <w:r w:rsidR="00301863" w:rsidRPr="00571887">
          <w:rPr>
            <w:rStyle w:val="Hyperlink"/>
            <w:rFonts w:ascii="Times New Roman" w:hAnsi="Times New Roman" w:cs="Times New Roman"/>
            <w:sz w:val="24"/>
            <w:szCs w:val="24"/>
            <w:u w:val="none"/>
          </w:rPr>
          <w:fldChar w:fldCharType="end"/>
        </w:r>
      </w:hyperlink>
      <w:r w:rsidR="0020282E" w:rsidRPr="00571887">
        <w:rPr>
          <w:rFonts w:ascii="Times New Roman" w:hAnsi="Times New Roman" w:cs="Times New Roman"/>
          <w:sz w:val="24"/>
          <w:szCs w:val="24"/>
        </w:rPr>
        <w:t xml:space="preserve">, </w:t>
      </w:r>
      <w:r w:rsidRPr="00571887">
        <w:rPr>
          <w:rFonts w:ascii="Times New Roman" w:hAnsi="Times New Roman" w:cs="Times New Roman"/>
          <w:sz w:val="24"/>
          <w:szCs w:val="24"/>
        </w:rPr>
        <w:t>often rooted in Agency Theory.</w:t>
      </w:r>
    </w:p>
    <w:p w14:paraId="5DAD88EF" w14:textId="2988A178" w:rsidR="0020282E" w:rsidRPr="00571887" w:rsidRDefault="00C50ECD" w:rsidP="00B46924">
      <w:pPr>
        <w:tabs>
          <w:tab w:val="left" w:pos="540"/>
        </w:tabs>
        <w:spacing w:after="0"/>
        <w:ind w:firstLine="426"/>
        <w:contextualSpacing/>
        <w:jc w:val="both"/>
        <w:rPr>
          <w:rFonts w:ascii="Times New Roman" w:hAnsi="Times New Roman" w:cs="Times New Roman"/>
          <w:sz w:val="24"/>
          <w:szCs w:val="24"/>
        </w:rPr>
      </w:pPr>
      <w:r w:rsidRPr="00571887">
        <w:rPr>
          <w:rFonts w:ascii="Times New Roman" w:hAnsi="Times New Roman" w:cs="Times New Roman"/>
          <w:sz w:val="24"/>
          <w:szCs w:val="24"/>
        </w:rPr>
        <w:t>The Social pillar comes in second place, albeit with a significant difference (5.</w:t>
      </w:r>
      <w:r w:rsidR="00D21B9E" w:rsidRPr="00571887">
        <w:rPr>
          <w:rFonts w:ascii="Times New Roman" w:hAnsi="Times New Roman" w:cs="Times New Roman"/>
          <w:sz w:val="24"/>
          <w:szCs w:val="24"/>
        </w:rPr>
        <w:t>88</w:t>
      </w:r>
      <w:r w:rsidRPr="00571887">
        <w:rPr>
          <w:rFonts w:ascii="Times New Roman" w:hAnsi="Times New Roman" w:cs="Times New Roman"/>
          <w:sz w:val="24"/>
          <w:szCs w:val="24"/>
        </w:rPr>
        <w:t>% of proxies and 10.</w:t>
      </w:r>
      <w:r w:rsidR="00D21B9E" w:rsidRPr="00571887">
        <w:rPr>
          <w:rFonts w:ascii="Times New Roman" w:hAnsi="Times New Roman" w:cs="Times New Roman"/>
          <w:sz w:val="24"/>
          <w:szCs w:val="24"/>
        </w:rPr>
        <w:t>08</w:t>
      </w:r>
      <w:r w:rsidRPr="00571887">
        <w:rPr>
          <w:rFonts w:ascii="Times New Roman" w:hAnsi="Times New Roman" w:cs="Times New Roman"/>
          <w:sz w:val="24"/>
          <w:szCs w:val="24"/>
        </w:rPr>
        <w:t xml:space="preserve">% of article occurrences). </w:t>
      </w:r>
      <w:r w:rsidR="009A08C3" w:rsidRPr="00571887">
        <w:rPr>
          <w:rFonts w:ascii="Times New Roman" w:hAnsi="Times New Roman" w:cs="Times New Roman"/>
          <w:sz w:val="24"/>
          <w:szCs w:val="24"/>
        </w:rPr>
        <w:t>It is noteworthy</w:t>
      </w:r>
      <w:r w:rsidRPr="00571887">
        <w:rPr>
          <w:rFonts w:ascii="Times New Roman" w:hAnsi="Times New Roman" w:cs="Times New Roman"/>
          <w:sz w:val="24"/>
          <w:szCs w:val="24"/>
        </w:rPr>
        <w:t xml:space="preserve"> that research related to social aspects still relies on one company's </w:t>
      </w:r>
      <w:r w:rsidR="00275AB2" w:rsidRPr="00571887">
        <w:rPr>
          <w:rFonts w:ascii="Times New Roman" w:hAnsi="Times New Roman" w:cs="Times New Roman"/>
          <w:sz w:val="24"/>
          <w:szCs w:val="24"/>
        </w:rPr>
        <w:t>behavior</w:t>
      </w:r>
      <w:r w:rsidRPr="00571887">
        <w:rPr>
          <w:rFonts w:ascii="Times New Roman" w:hAnsi="Times New Roman" w:cs="Times New Roman"/>
          <w:sz w:val="24"/>
          <w:szCs w:val="24"/>
        </w:rPr>
        <w:t xml:space="preserve"> in paying attention to social factors, namely CSR, whether it is measured through CSR Scores, CSR Index, CSR Disclosure, etc. </w:t>
      </w:r>
      <w:r w:rsidR="00790624" w:rsidRPr="00571887">
        <w:rPr>
          <w:rFonts w:ascii="Times New Roman" w:hAnsi="Times New Roman" w:cs="Times New Roman"/>
          <w:sz w:val="24"/>
          <w:szCs w:val="24"/>
        </w:rPr>
        <w:t>However, this relatively small portion may stem from the fact that the CSR pillar remains the primary focus of research, while it may also reflect the complexity of quantitatively measuring social impact and the presence of contradictory findings in prior literature</w:t>
      </w:r>
      <w:r w:rsidR="00301863" w:rsidRPr="00571887">
        <w:rPr>
          <w:rFonts w:ascii="Times New Roman" w:hAnsi="Times New Roman" w:cs="Times New Roman"/>
          <w:sz w:val="24"/>
          <w:szCs w:val="24"/>
        </w:rPr>
        <w:t xml:space="preserve"> </w:t>
      </w:r>
      <w:hyperlink w:anchor="Yunistiyani" w:history="1">
        <w:r w:rsidR="00301863" w:rsidRPr="00571887">
          <w:rPr>
            <w:rStyle w:val="Hyperlink"/>
            <w:rFonts w:ascii="Times New Roman" w:hAnsi="Times New Roman" w:cs="Times New Roman"/>
            <w:sz w:val="24"/>
            <w:szCs w:val="24"/>
            <w:u w:val="none"/>
          </w:rPr>
          <w:fldChar w:fldCharType="begin" w:fldLock="1"/>
        </w:r>
        <w:r w:rsidR="00301863" w:rsidRPr="00571887">
          <w:rPr>
            <w:rStyle w:val="Hyperlink"/>
            <w:rFonts w:ascii="Times New Roman" w:hAnsi="Times New Roman" w:cs="Times New Roman"/>
            <w:sz w:val="24"/>
            <w:szCs w:val="24"/>
            <w:u w:val="none"/>
          </w:rPr>
          <w:instrText>ADDIN CSL_CITATION {"citationItems":[{"id":"ITEM-1","itemData":{"DOI":"10.2308/accr-50544","ISSN":"00014826","abstract":"We examine the empirical association between corporate social responsibility (CSR) and tax avoidance. Our findings suggest that firms with excessive irresponsible CSR activities have a higher likelihood of engaging in tax-sheltering activities and greater discretionary/permanent book-tax differences. Moreover, at the onset of FASB Interpretation No. 48, these firms have more uncertain tax positions; also, these firms' initial tax positions are likely supported by weaker facts and circumstances as indicated by their larger post-FIN 48 settlements with tax authorities and their higher likelihood of a net decrease in the overall level of uncertain tax positions after FIN 48. Collectively, these results suggest that firms with excessive irresponsible CSR activities are more aggressive in avoiding taxes, lending credence to the idea that corporate culture affects tax avoidance.","author":[{"dropping-particle":"","family":"Hoi","given":"Chun Keung","non-dropping-particle":"","parse-names":false,"suffix":""},{"dropping-particle":"","family":"Wu","given":"Qiang","non-dropping-particle":"","parse-names":false,"suffix":""},{"dropping-particle":"","family":"Zhang","given":"Hao","non-dropping-particle":"","parse-names":false,"suffix":""}],"container-title":"Accounting Review","id":"ITEM-1","issue":"6","issued":{"date-parts":[["2013"]]},"page":"2025-2059","title":"Is corporate social responsibility (CSR) associated with tax avoidance? Evidence from irresponsible CSR activities","type":"article-journal","volume":"88"},"uris":["http://www.mendeley.com/documents/?uuid=17c4ce28-ca54-4330-b934-8b033d704dae"]},{"id":"ITEM-2","itemData":{"DOI":"10.23887/jia.v2i1.9610","ISSN":"2527-4090","abstract":"ABSTRAK Penelitian ini bertujuan untuk menguji pengaruh corporate social responsibility dan agresivitas pelaporan keuangan terhadap agresivitas pajak dengan good corporate governance sebagai variabel pemoderasi. Variabel Good Corporate Governance yang digunakan pada penelitian ini diproksikan dengan proporsi komisaris independen dan komite audit. Penelitian ini berfokus pada perusahaan manufaktur yang terdaftar di Bursa Efek Indonesia tahun 20142015. Metode sampling yang digunakan adalah purposive sampling dengan sampel dari 64 perusahaan selama periode pengamatan 2 tahun berturut-turut, sehingga menghasilkan 128 sampel. Teknik analisis yang digunakan untuk pengujian adalah regresi linier berganda berbantuan aplikasi statistika SPSS 22.0. Hasil penelitian menunjukkan bahwa corporate social responsibility dan agresivitas pelaporan keuangan berpengaruh positif terhadap agresivitas pajak. Sementara itu, proporsi komisaris independen dan komite audit tidak berpengaruh dalam memoderasi hubungan agresivitas pelaporan keuangan dengan agresivitas pajak.Kata kunci: corporate social responsibility; agresivitas pelaporan keuangan; agresivitas pajak; komisaris independen; komite audit ABSTRACT This study aimed to examine the effect corporate social responsibility and financial reporting aggressiveness towards tax aggressiveness with good corporate governance as moderating variable. Good corporate governance which is proxied by board of independence commissioner proportion and audit committee. This study are focusing on manufacturing companies listed in Indonesia Stock Exchange in the period 2014-2015. The sampling method used was purposive sampling with a sample of 64 companies during the observation period of 2 years in a row so as to produce a total of 128 samples. Analysis technique used was multiple regression analysis by SPSS 22.0. The result reveal corporate social responsibility and financial reporting aggresiveness degree of tax aggresiveness. Board of independence commissioners and audit committee as the moderating variable have no influence between financial reporting aggresiveness and tax aggresiveness. Keywords: corporate social responsibility, financial reporting aggresiveness, tax aggresiveness, board of independence commissioner, audit committee ","author":[{"dropping-particle":"","family":"Yunistiyani","given":"Vina","non-dropping-particle":"","parse-names":false,"suffix":""},{"dropping-particle":"","family":"Tahar","given":"Afrizal","non-dropping-particle":"","parse-names":false,"suffix":""}],"container-title":"Jurnal Ilmiah Akuntansi","id":"ITEM-2","issue":"1","issued":{"date-parts":[["2017"]]},"page":"1-31","title":"CORPORATE SOCIAL RESPONSIBILITY DAN AGRESIVITAS PELAPORAN KEUANGAN TERHADAP AGRESIVITAS PAJAK DENGAN GOOD CORPORATE GOVERNANCE SEBAGAI PEMODERASI (Studi pada Perusahaan Manufaktur di Bursa Efek Indonesia)","type":"article-journal","volume":"2"},"uris":["http://www.mendeley.com/documents/?uuid=9ac8d21b-00c8-45c4-b12d-0f198d868aa6"]}],"mendeley":{"formattedCitation":"(Hoi et al., 2013; Yunistiyani &amp; Tahar, 2017)","plainTextFormattedCitation":"(Hoi et al., 2013; Yunistiyani &amp; Tahar, 2017)"},"properties":{"noteIndex":0},"schema":"https://github.com/citation-style-language/schema/raw/master/csl-citation.json"}</w:instrText>
        </w:r>
        <w:r w:rsidR="00301863" w:rsidRPr="00571887">
          <w:rPr>
            <w:rStyle w:val="Hyperlink"/>
            <w:rFonts w:ascii="Times New Roman" w:hAnsi="Times New Roman" w:cs="Times New Roman"/>
            <w:sz w:val="24"/>
            <w:szCs w:val="24"/>
            <w:u w:val="none"/>
          </w:rPr>
          <w:fldChar w:fldCharType="separate"/>
        </w:r>
        <w:r w:rsidR="00301863" w:rsidRPr="00571887">
          <w:rPr>
            <w:rStyle w:val="Hyperlink"/>
            <w:rFonts w:ascii="Times New Roman" w:hAnsi="Times New Roman" w:cs="Times New Roman"/>
            <w:noProof/>
            <w:sz w:val="24"/>
            <w:szCs w:val="24"/>
            <w:u w:val="none"/>
          </w:rPr>
          <w:t>(Hoi et al., 2013; Yunistiyani &amp; Tahar, 2017)</w:t>
        </w:r>
        <w:r w:rsidR="00301863" w:rsidRPr="00571887">
          <w:rPr>
            <w:rStyle w:val="Hyperlink"/>
            <w:rFonts w:ascii="Times New Roman" w:hAnsi="Times New Roman" w:cs="Times New Roman"/>
            <w:sz w:val="24"/>
            <w:szCs w:val="24"/>
            <w:u w:val="none"/>
          </w:rPr>
          <w:fldChar w:fldCharType="end"/>
        </w:r>
      </w:hyperlink>
      <w:r w:rsidR="00790624" w:rsidRPr="00571887">
        <w:t>,</w:t>
      </w:r>
      <w:r w:rsidR="0020282E" w:rsidRPr="00571887">
        <w:rPr>
          <w:rFonts w:ascii="Times New Roman" w:hAnsi="Times New Roman" w:cs="Times New Roman"/>
          <w:sz w:val="24"/>
          <w:szCs w:val="24"/>
        </w:rPr>
        <w:t xml:space="preserve"> </w:t>
      </w:r>
      <w:r w:rsidRPr="00571887">
        <w:rPr>
          <w:rFonts w:ascii="Times New Roman" w:hAnsi="Times New Roman" w:cs="Times New Roman"/>
          <w:sz w:val="24"/>
          <w:szCs w:val="24"/>
        </w:rPr>
        <w:t>which may reduce the attractiveness for further exploration.</w:t>
      </w:r>
    </w:p>
    <w:p w14:paraId="64BAED7F" w14:textId="0ACD0C4B" w:rsidR="009D0C2E" w:rsidRDefault="00C50ECD" w:rsidP="002C008D">
      <w:pPr>
        <w:spacing w:after="0"/>
        <w:ind w:firstLine="426"/>
        <w:contextualSpacing/>
        <w:jc w:val="both"/>
        <w:rPr>
          <w:rFonts w:ascii="Times New Roman" w:hAnsi="Times New Roman" w:cs="Times New Roman"/>
          <w:sz w:val="24"/>
          <w:szCs w:val="24"/>
          <w:lang w:val="id-ID"/>
        </w:rPr>
      </w:pPr>
      <w:r w:rsidRPr="00571887">
        <w:rPr>
          <w:rFonts w:ascii="Times New Roman" w:hAnsi="Times New Roman" w:cs="Times New Roman"/>
          <w:sz w:val="24"/>
          <w:szCs w:val="24"/>
        </w:rPr>
        <w:lastRenderedPageBreak/>
        <w:t>Finally, the Environmental pillar has the smallest share</w:t>
      </w:r>
      <w:r w:rsidR="00571887">
        <w:rPr>
          <w:rFonts w:ascii="Times New Roman" w:hAnsi="Times New Roman" w:cs="Times New Roman"/>
          <w:sz w:val="24"/>
          <w:szCs w:val="24"/>
        </w:rPr>
        <w:t xml:space="preserve"> (11.76% of proxies 2</w:t>
      </w:r>
      <w:r w:rsidR="00571887">
        <w:rPr>
          <w:rFonts w:ascii="Times New Roman" w:hAnsi="Times New Roman" w:cs="Times New Roman"/>
          <w:sz w:val="24"/>
          <w:szCs w:val="24"/>
          <w:lang w:val="id-ID"/>
        </w:rPr>
        <w:t>.</w:t>
      </w:r>
      <w:r w:rsidR="00DC4588" w:rsidRPr="00571887">
        <w:rPr>
          <w:rFonts w:ascii="Times New Roman" w:hAnsi="Times New Roman" w:cs="Times New Roman"/>
          <w:sz w:val="24"/>
          <w:szCs w:val="24"/>
        </w:rPr>
        <w:t>33% of article occurrences)</w:t>
      </w:r>
      <w:r w:rsidRPr="00571887">
        <w:rPr>
          <w:rFonts w:ascii="Times New Roman" w:hAnsi="Times New Roman" w:cs="Times New Roman"/>
          <w:sz w:val="24"/>
          <w:szCs w:val="24"/>
        </w:rPr>
        <w:t>. Proxies such as Sustainability Report Disclosure and Environmental Uncertainty are still rarely the focus. The lack of exploration on this pillar suggests that the relationship between corporate environmental initiatives and tax avoidance has not been deeply elabor</w:t>
      </w:r>
      <w:r w:rsidRPr="0099292E">
        <w:rPr>
          <w:rFonts w:ascii="Times New Roman" w:hAnsi="Times New Roman" w:cs="Times New Roman"/>
          <w:sz w:val="24"/>
          <w:szCs w:val="24"/>
        </w:rPr>
        <w:t>ated in Indonesia.</w:t>
      </w:r>
    </w:p>
    <w:p w14:paraId="775D40A8" w14:textId="77777777" w:rsidR="002C008D" w:rsidRPr="002C008D" w:rsidRDefault="002C008D" w:rsidP="002C008D">
      <w:pPr>
        <w:spacing w:after="0"/>
        <w:ind w:firstLine="426"/>
        <w:contextualSpacing/>
        <w:jc w:val="both"/>
        <w:rPr>
          <w:rFonts w:ascii="Times New Roman" w:hAnsi="Times New Roman" w:cs="Times New Roman"/>
          <w:sz w:val="24"/>
          <w:szCs w:val="24"/>
          <w:lang w:val="id-ID"/>
        </w:rPr>
      </w:pPr>
    </w:p>
    <w:p w14:paraId="1E5B4C15" w14:textId="52A00753" w:rsidR="00542793" w:rsidRPr="002C008D" w:rsidRDefault="00C50ECD" w:rsidP="00542793">
      <w:pPr>
        <w:spacing w:after="0"/>
        <w:contextualSpacing/>
        <w:jc w:val="both"/>
        <w:rPr>
          <w:rFonts w:ascii="Times New Roman" w:hAnsi="Times New Roman" w:cs="Times New Roman"/>
          <w:b/>
          <w:bCs/>
          <w:i/>
          <w:sz w:val="24"/>
          <w:szCs w:val="24"/>
        </w:rPr>
      </w:pPr>
      <w:r w:rsidRPr="002C008D">
        <w:rPr>
          <w:rFonts w:ascii="Times New Roman" w:hAnsi="Times New Roman" w:cs="Times New Roman"/>
          <w:b/>
          <w:bCs/>
          <w:i/>
          <w:sz w:val="24"/>
          <w:szCs w:val="24"/>
        </w:rPr>
        <w:t>Research Trends</w:t>
      </w:r>
      <w:r w:rsidR="00610740" w:rsidRPr="002C008D">
        <w:rPr>
          <w:rFonts w:ascii="Times New Roman" w:hAnsi="Times New Roman" w:cs="Times New Roman"/>
          <w:b/>
          <w:bCs/>
          <w:i/>
          <w:sz w:val="24"/>
          <w:szCs w:val="24"/>
        </w:rPr>
        <w:tab/>
      </w:r>
    </w:p>
    <w:p w14:paraId="4AC022EC" w14:textId="6A7DB7EA" w:rsidR="00D40BB9" w:rsidRPr="0099292E" w:rsidRDefault="00A533FB" w:rsidP="00D40BB9">
      <w:pPr>
        <w:keepNext/>
        <w:spacing w:after="0"/>
        <w:contextualSpacing/>
        <w:jc w:val="center"/>
        <w:rPr>
          <w:b/>
          <w:bCs/>
        </w:rPr>
      </w:pPr>
      <w:r w:rsidRPr="0099292E">
        <w:rPr>
          <w:b/>
          <w:bCs/>
          <w:noProof/>
        </w:rPr>
        <w:drawing>
          <wp:inline distT="0" distB="0" distL="0" distR="0" wp14:anchorId="740571C2" wp14:editId="4D31F031">
            <wp:extent cx="5069589" cy="4008120"/>
            <wp:effectExtent l="0" t="0" r="0" b="0"/>
            <wp:docPr id="412082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82873" name=""/>
                    <pic:cNvPicPr/>
                  </pic:nvPicPr>
                  <pic:blipFill>
                    <a:blip r:embed="rId20"/>
                    <a:stretch>
                      <a:fillRect/>
                    </a:stretch>
                  </pic:blipFill>
                  <pic:spPr>
                    <a:xfrm>
                      <a:off x="0" y="0"/>
                      <a:ext cx="5074158" cy="4011732"/>
                    </a:xfrm>
                    <a:prstGeom prst="rect">
                      <a:avLst/>
                    </a:prstGeom>
                    <a:ln>
                      <a:noFill/>
                    </a:ln>
                  </pic:spPr>
                </pic:pic>
              </a:graphicData>
            </a:graphic>
          </wp:inline>
        </w:drawing>
      </w:r>
    </w:p>
    <w:p w14:paraId="0F3605CB" w14:textId="076C5613" w:rsidR="00820FD5" w:rsidRDefault="00C50ECD" w:rsidP="00374F9D">
      <w:pPr>
        <w:pStyle w:val="Caption"/>
        <w:spacing w:after="0"/>
        <w:contextualSpacing/>
        <w:jc w:val="center"/>
        <w:rPr>
          <w:rFonts w:ascii="Times New Roman" w:hAnsi="Times New Roman" w:cs="Times New Roman"/>
          <w:b/>
          <w:bCs/>
          <w:i w:val="0"/>
          <w:iCs w:val="0"/>
          <w:color w:val="auto"/>
          <w:sz w:val="22"/>
          <w:szCs w:val="22"/>
        </w:rPr>
      </w:pPr>
      <w:r w:rsidRPr="0099292E">
        <w:rPr>
          <w:rFonts w:ascii="Times New Roman" w:hAnsi="Times New Roman" w:cs="Times New Roman"/>
          <w:b/>
          <w:bCs/>
          <w:i w:val="0"/>
          <w:iCs w:val="0"/>
          <w:color w:val="auto"/>
          <w:sz w:val="22"/>
          <w:szCs w:val="22"/>
        </w:rPr>
        <w:t>Figure</w:t>
      </w:r>
      <w:r w:rsidR="006425F5" w:rsidRPr="0099292E">
        <w:rPr>
          <w:rFonts w:ascii="Times New Roman" w:hAnsi="Times New Roman" w:cs="Times New Roman"/>
          <w:b/>
          <w:bCs/>
          <w:i w:val="0"/>
          <w:iCs w:val="0"/>
          <w:color w:val="auto"/>
          <w:sz w:val="22"/>
          <w:szCs w:val="22"/>
        </w:rPr>
        <w:t xml:space="preserve"> </w:t>
      </w:r>
      <w:r w:rsidR="001F50EF" w:rsidRPr="0099292E">
        <w:rPr>
          <w:rFonts w:ascii="Times New Roman" w:hAnsi="Times New Roman" w:cs="Times New Roman"/>
          <w:b/>
          <w:bCs/>
          <w:i w:val="0"/>
          <w:iCs w:val="0"/>
          <w:color w:val="auto"/>
          <w:sz w:val="22"/>
          <w:szCs w:val="22"/>
        </w:rPr>
        <w:t>4</w:t>
      </w:r>
      <w:r w:rsidR="006425F5" w:rsidRPr="0099292E">
        <w:rPr>
          <w:rFonts w:ascii="Times New Roman" w:hAnsi="Times New Roman" w:cs="Times New Roman"/>
          <w:b/>
          <w:bCs/>
          <w:i w:val="0"/>
          <w:iCs w:val="0"/>
          <w:color w:val="auto"/>
          <w:sz w:val="22"/>
          <w:szCs w:val="22"/>
        </w:rPr>
        <w:t xml:space="preserve">. </w:t>
      </w:r>
      <w:r w:rsidRPr="0099292E">
        <w:rPr>
          <w:rFonts w:ascii="Times New Roman" w:hAnsi="Times New Roman" w:cs="Times New Roman"/>
          <w:b/>
          <w:bCs/>
          <w:i w:val="0"/>
          <w:iCs w:val="0"/>
          <w:color w:val="auto"/>
          <w:sz w:val="22"/>
          <w:szCs w:val="22"/>
        </w:rPr>
        <w:t>Map of the Effect of ESG Pillars on Tax Avoidance</w:t>
      </w:r>
    </w:p>
    <w:p w14:paraId="40564ABB" w14:textId="77777777" w:rsidR="00374F9D" w:rsidRPr="00374F9D" w:rsidRDefault="00374F9D" w:rsidP="00374F9D">
      <w:pPr>
        <w:spacing w:after="0"/>
        <w:contextualSpacing/>
      </w:pPr>
    </w:p>
    <w:p w14:paraId="03B1A646" w14:textId="24B419A1" w:rsidR="00C0782B" w:rsidRPr="00B46924" w:rsidRDefault="00C0782B" w:rsidP="00B46924">
      <w:pPr>
        <w:spacing w:after="0"/>
        <w:ind w:firstLine="426"/>
        <w:contextualSpacing/>
        <w:jc w:val="both"/>
        <w:rPr>
          <w:rFonts w:ascii="Times New Roman" w:hAnsi="Times New Roman" w:cs="Times New Roman"/>
          <w:sz w:val="24"/>
          <w:szCs w:val="24"/>
        </w:rPr>
      </w:pPr>
      <w:r w:rsidRPr="00B46924">
        <w:rPr>
          <w:rFonts w:ascii="Times New Roman" w:hAnsi="Times New Roman" w:cs="Times New Roman"/>
          <w:sz w:val="24"/>
          <w:szCs w:val="24"/>
        </w:rPr>
        <w:t xml:space="preserve">As illustrated in Figure </w:t>
      </w:r>
      <w:r w:rsidR="001F50EF" w:rsidRPr="00B46924">
        <w:rPr>
          <w:rFonts w:ascii="Times New Roman" w:hAnsi="Times New Roman" w:cs="Times New Roman"/>
          <w:sz w:val="24"/>
          <w:szCs w:val="24"/>
        </w:rPr>
        <w:t>4</w:t>
      </w:r>
      <w:r w:rsidRPr="00B46924">
        <w:rPr>
          <w:rFonts w:ascii="Times New Roman" w:hAnsi="Times New Roman" w:cs="Times New Roman"/>
          <w:sz w:val="24"/>
          <w:szCs w:val="24"/>
        </w:rPr>
        <w:t xml:space="preserve">, the influence of Environmental, Social, and Governance (ESG) variables on tax avoidance practices represents a growing research domain characterized by considerable complexity. </w:t>
      </w:r>
      <w:r w:rsidR="00710CF4" w:rsidRPr="00B46924">
        <w:rPr>
          <w:rFonts w:ascii="Times New Roman" w:hAnsi="Times New Roman" w:cs="Times New Roman"/>
          <w:sz w:val="24"/>
          <w:szCs w:val="24"/>
        </w:rPr>
        <w:t>The results also reveal highly diverse and often inconsistent findings, underscoring the need for further scholarly exploration</w:t>
      </w:r>
      <w:r w:rsidRPr="00B46924">
        <w:rPr>
          <w:rFonts w:ascii="Times New Roman" w:hAnsi="Times New Roman" w:cs="Times New Roman"/>
          <w:sz w:val="24"/>
          <w:szCs w:val="24"/>
        </w:rPr>
        <w:t>.</w:t>
      </w:r>
    </w:p>
    <w:p w14:paraId="51446F05" w14:textId="77777777"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Among the ESG pillars, corporate governance has been the most extensively examined in the context of tax avoidance. This reflects strong academic and practitioner interest in how internal governance mechanisms shape firms’ tax management. Over time, however, the research agenda has gradually expanded to incorporate social and environmental dimensions, offering a more holistic view of how corporate sustainability commitments influence tax behavior. The inconsistencies in empirical findings have encouraged scholars to probe moderating and mediating factors, as well as contextual elements such as industry characteristics and macroeconomic conditions. This body of research has been largely anchored in Agency Theory, which remains the dominant theoretical framework.</w:t>
      </w:r>
    </w:p>
    <w:p w14:paraId="4963F75F" w14:textId="1E7D72C3"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The governance pillar encompasses a range of mechanisms </w:t>
      </w:r>
      <w:r w:rsidR="009A08C3">
        <w:rPr>
          <w:rFonts w:ascii="Times New Roman" w:eastAsia="Times New Roman" w:hAnsi="Times New Roman" w:cs="Times New Roman"/>
          <w:bCs/>
          <w:iCs/>
          <w:sz w:val="24"/>
          <w:szCs w:val="24"/>
        </w:rPr>
        <w:t>to align</w:t>
      </w:r>
      <w:r w:rsidRPr="0099292E">
        <w:rPr>
          <w:rFonts w:ascii="Times New Roman" w:eastAsia="Times New Roman" w:hAnsi="Times New Roman" w:cs="Times New Roman"/>
          <w:bCs/>
          <w:iCs/>
          <w:sz w:val="24"/>
          <w:szCs w:val="24"/>
        </w:rPr>
        <w:t xml:space="preserve"> the interests of managers (agents) and shareholders or government (principals), thereby limiting </w:t>
      </w:r>
      <w:r w:rsidRPr="0099292E">
        <w:rPr>
          <w:rFonts w:ascii="Times New Roman" w:eastAsia="Times New Roman" w:hAnsi="Times New Roman" w:cs="Times New Roman"/>
          <w:bCs/>
          <w:iCs/>
          <w:sz w:val="24"/>
          <w:szCs w:val="24"/>
        </w:rPr>
        <w:lastRenderedPageBreak/>
        <w:t xml:space="preserve">opportunistic behavior that could lead to tax avoidance. </w:t>
      </w:r>
      <w:r w:rsidR="00F96FC4" w:rsidRPr="0099292E">
        <w:rPr>
          <w:rFonts w:ascii="Times New Roman" w:eastAsia="Times New Roman" w:hAnsi="Times New Roman" w:cs="Times New Roman"/>
          <w:bCs/>
          <w:iCs/>
          <w:sz w:val="24"/>
          <w:szCs w:val="24"/>
        </w:rPr>
        <w:t>Studies commonly show that higher governance quality tends to result in less tax avoidance</w:t>
      </w:r>
      <w:r w:rsidRPr="0099292E">
        <w:rPr>
          <w:rFonts w:ascii="Times New Roman" w:eastAsia="Times New Roman" w:hAnsi="Times New Roman" w:cs="Times New Roman"/>
          <w:bCs/>
          <w:iCs/>
          <w:sz w:val="24"/>
          <w:szCs w:val="24"/>
        </w:rPr>
        <w:t xml:space="preserve">. Nevertheless, </w:t>
      </w:r>
      <w:r w:rsidR="00F96FC4" w:rsidRPr="0099292E">
        <w:rPr>
          <w:rFonts w:ascii="Times New Roman" w:eastAsia="Times New Roman" w:hAnsi="Times New Roman" w:cs="Times New Roman"/>
          <w:bCs/>
          <w:iCs/>
          <w:sz w:val="24"/>
          <w:szCs w:val="24"/>
        </w:rPr>
        <w:t xml:space="preserve">research shows significant variation in how specific </w:t>
      </w:r>
      <w:r w:rsidR="009A08C3">
        <w:rPr>
          <w:rFonts w:ascii="Times New Roman" w:eastAsia="Times New Roman" w:hAnsi="Times New Roman" w:cs="Times New Roman"/>
          <w:bCs/>
          <w:iCs/>
          <w:sz w:val="24"/>
          <w:szCs w:val="24"/>
        </w:rPr>
        <w:t>governance measures</w:t>
      </w:r>
      <w:r w:rsidR="00F96FC4" w:rsidRPr="0099292E">
        <w:rPr>
          <w:rFonts w:ascii="Times New Roman" w:eastAsia="Times New Roman" w:hAnsi="Times New Roman" w:cs="Times New Roman"/>
          <w:bCs/>
          <w:iCs/>
          <w:sz w:val="24"/>
          <w:szCs w:val="24"/>
        </w:rPr>
        <w:t xml:space="preserve"> affect a company's tax behavior</w:t>
      </w:r>
      <w:r w:rsidRPr="0099292E">
        <w:rPr>
          <w:rFonts w:ascii="Times New Roman" w:eastAsia="Times New Roman" w:hAnsi="Times New Roman" w:cs="Times New Roman"/>
          <w:bCs/>
          <w:iCs/>
          <w:sz w:val="24"/>
          <w:szCs w:val="24"/>
        </w:rPr>
        <w:t>.</w:t>
      </w:r>
    </w:p>
    <w:p w14:paraId="1B15C836" w14:textId="2B5A1D6B"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The effect of institutional ownership on tax avoidance is particularly mixed. Some studies report no significant impact, implying that institutional investors may not yet serve as effective monitors of tax compliance</w:t>
      </w:r>
      <w:r w:rsidR="006443B9" w:rsidRPr="0099292E">
        <w:rPr>
          <w:rFonts w:ascii="Times New Roman" w:eastAsia="Times New Roman" w:hAnsi="Times New Roman" w:cs="Times New Roman"/>
          <w:bCs/>
          <w:iCs/>
          <w:sz w:val="24"/>
          <w:szCs w:val="24"/>
        </w:rPr>
        <w:t xml:space="preserve">, </w:t>
      </w:r>
      <w:r w:rsidRPr="0099292E">
        <w:rPr>
          <w:rFonts w:ascii="Times New Roman" w:eastAsia="Times New Roman" w:hAnsi="Times New Roman" w:cs="Times New Roman"/>
          <w:bCs/>
          <w:iCs/>
          <w:sz w:val="24"/>
          <w:szCs w:val="24"/>
        </w:rPr>
        <w:t>possibly because they prioritize short-term profitability over tax discipline or lack sufficient oversight strength. Other studies, however, identify either negative or positive relationships. A negative association suggests that higher institutional ownership enhances monitoring, curbing tax aggressiveness due to reputational or legal concerns. Conversely, a positive association may indicate that institutional investors encourage aggressive tax strategies to maximize returns. Notably, foreign institutional ownership is often found to reduce tax avoidance, as foreign investors tend to be more sensitive to reputational risks and legal compliance across jurisdictions.</w:t>
      </w:r>
    </w:p>
    <w:p w14:paraId="2DAE8B25" w14:textId="4DA875A3"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Most studies document a negative relationship between managerial ownership and tax avoidance, although some find the opposite. The prevailing logic is that managers with significant equity stakes exercise greater caution, avoiding risky tax practices since potential losses directly affect their wealth. This aligns with Agency Theory, where managers act simultaneously as principals and agents. However, some evidence suggests no significant effect, indicating that other motivations may shape tax decisions more strongly.</w:t>
      </w:r>
    </w:p>
    <w:p w14:paraId="1C1CE7E1" w14:textId="52B5BD0A"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Independent commissioners and audit committees as supervisory mechanisms are generally expected to reduce tax avoidance, a finding supported by much of the literature. A larger proportion of independent commissioners and more active audit committees typically enhance transparency and accountability, constraining aggressive tax practices. Nonetheless, some studies report insignificant or even positive effects. Such results may reflect the fact that in Indonesia, these roles are sometimes more symbolic than substantive, or that management still circumvents oversight. Audit committees are also scrutinized for their ability to review financial reports and internal controls, functions that should deter tax avoidance. Moreover, some evidence suggests that audit committees moderate the relationship between financial stress and tax aggressiveness</w:t>
      </w:r>
      <w:r w:rsidR="00610DBA" w:rsidRPr="0099292E">
        <w:rPr>
          <w:rFonts w:ascii="Times New Roman" w:eastAsia="Times New Roman" w:hAnsi="Times New Roman" w:cs="Times New Roman"/>
          <w:bCs/>
          <w:iCs/>
          <w:sz w:val="24"/>
          <w:szCs w:val="24"/>
        </w:rPr>
        <w:t xml:space="preserve">, </w:t>
      </w:r>
      <w:r w:rsidRPr="0099292E">
        <w:rPr>
          <w:rFonts w:ascii="Times New Roman" w:eastAsia="Times New Roman" w:hAnsi="Times New Roman" w:cs="Times New Roman"/>
          <w:bCs/>
          <w:iCs/>
          <w:sz w:val="24"/>
          <w:szCs w:val="24"/>
        </w:rPr>
        <w:t>where effective committees help firms maintain compliance under pressure.</w:t>
      </w:r>
    </w:p>
    <w:p w14:paraId="1BF8699F" w14:textId="2CC53445" w:rsidR="00C0782B" w:rsidRPr="0099292E" w:rsidRDefault="00B7636D"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Audit quality, commonly represented by the presence of Big Four auditors, is typically linked to reduced tax avoidance since reputable and skilled auditors have the credibility and expertise to ensure compliance</w:t>
      </w:r>
      <w:r w:rsidR="00C0782B" w:rsidRPr="0099292E">
        <w:rPr>
          <w:rFonts w:ascii="Times New Roman" w:eastAsia="Times New Roman" w:hAnsi="Times New Roman" w:cs="Times New Roman"/>
          <w:bCs/>
          <w:iCs/>
          <w:sz w:val="24"/>
          <w:szCs w:val="24"/>
        </w:rPr>
        <w:t>. Yet some studies find no significant relationship, potentially due to conflicts of interest (e.g., when auditors also provide tax consulting services) or systemic limitations within Indonesian auditing practices.</w:t>
      </w:r>
    </w:p>
    <w:p w14:paraId="23F8CC29" w14:textId="48C22E8D"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Limited research has examined transparency, but one study found that greater transparency reduces tax avoidance. By increasing public and governmental access to information, transparency reduces opportunities for aggressive tax practices.</w:t>
      </w:r>
    </w:p>
    <w:p w14:paraId="1ABCFABE" w14:textId="314427F1"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Executive characteristics, especially risk-taking tendencies, are frequently linked to higher tax avoidance. Risk-oriented leaders may adopt aggressive tax strategies to boost </w:t>
      </w:r>
      <w:r w:rsidRPr="0099292E">
        <w:rPr>
          <w:rFonts w:ascii="Times New Roman" w:eastAsia="Times New Roman" w:hAnsi="Times New Roman" w:cs="Times New Roman"/>
          <w:bCs/>
          <w:iCs/>
          <w:sz w:val="24"/>
          <w:szCs w:val="24"/>
        </w:rPr>
        <w:lastRenderedPageBreak/>
        <w:t>profits and, consequently, their compensation. However, evidence is mixed, with some studies reporting no significant or negative associations.</w:t>
      </w:r>
    </w:p>
    <w:p w14:paraId="5EEC0730" w14:textId="52D8E75B"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Management compensation and incentive structures also yield inconsistent findings. While some studies show that sufficient incentives reduce the need for tax avoidance, others find no significant effect. These results highlight the complexity of executive motivations and their influence on tax decision-making.</w:t>
      </w:r>
    </w:p>
    <w:p w14:paraId="1FDCB72C" w14:textId="748CA270"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The role of political connections is especially ambiguous. Some studies document a positive association, suggesting that politically connected firms may feel shielded from scrutiny or exploit privileged access to information, enabling aggressive tax avoidance. Others find a negative association, implying that such firms may prioritize compliance to preserve legitimacy with government and society. Several studies report no significant effect at all. Political connections may also moderate relationships between other governance variables and tax avoidance, adding further complexity.</w:t>
      </w:r>
    </w:p>
    <w:p w14:paraId="716BDAB0" w14:textId="1EBD0612"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Evidence regarding </w:t>
      </w:r>
      <w:r w:rsidR="006B5277" w:rsidRPr="0099292E">
        <w:rPr>
          <w:rFonts w:ascii="Times New Roman" w:eastAsia="Times New Roman" w:hAnsi="Times New Roman" w:cs="Times New Roman"/>
          <w:bCs/>
          <w:iCs/>
          <w:sz w:val="24"/>
          <w:szCs w:val="24"/>
        </w:rPr>
        <w:t>family-controlled</w:t>
      </w:r>
      <w:r w:rsidRPr="0099292E">
        <w:rPr>
          <w:rFonts w:ascii="Times New Roman" w:eastAsia="Times New Roman" w:hAnsi="Times New Roman" w:cs="Times New Roman"/>
          <w:bCs/>
          <w:iCs/>
          <w:sz w:val="24"/>
          <w:szCs w:val="24"/>
        </w:rPr>
        <w:t xml:space="preserve"> firms is also inconsistent. Some studies suggest family ownership reduces tax avoidance, as families seek to safeguard </w:t>
      </w:r>
      <w:r w:rsidR="00CF2ACB">
        <w:rPr>
          <w:rFonts w:ascii="Times New Roman" w:eastAsia="Times New Roman" w:hAnsi="Times New Roman" w:cs="Times New Roman"/>
          <w:bCs/>
          <w:iCs/>
          <w:sz w:val="24"/>
          <w:szCs w:val="24"/>
        </w:rPr>
        <w:t xml:space="preserve">their </w:t>
      </w:r>
      <w:r w:rsidRPr="0099292E">
        <w:rPr>
          <w:rFonts w:ascii="Times New Roman" w:eastAsia="Times New Roman" w:hAnsi="Times New Roman" w:cs="Times New Roman"/>
          <w:bCs/>
          <w:iCs/>
          <w:sz w:val="24"/>
          <w:szCs w:val="24"/>
        </w:rPr>
        <w:t>long-term reputation and legacy. Others report the opposite, indicating that families may exploit control to shift profits and reduce tax burdens, particularly in weakly monitored environments.</w:t>
      </w:r>
    </w:p>
    <w:p w14:paraId="51B18B9F" w14:textId="338B2605"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Most studies find no significant link between CEO tenure and tax avoidance, implying that tenure length alone does not drive tax behavior. Tax-related decisions are often collective rather than individual. However, a slight positive tendency has been observed in some contexts.</w:t>
      </w:r>
    </w:p>
    <w:p w14:paraId="23462C01" w14:textId="6758E20D"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Research on executive gender diversity, particularly female representation on boards, generally finds no significant effect on tax avoidance</w:t>
      </w:r>
      <w:r w:rsidR="009A08C3">
        <w:rPr>
          <w:rFonts w:ascii="Times New Roman" w:eastAsia="Times New Roman" w:hAnsi="Times New Roman" w:cs="Times New Roman"/>
          <w:bCs/>
          <w:iCs/>
          <w:sz w:val="24"/>
          <w:szCs w:val="24"/>
        </w:rPr>
        <w:t>. This</w:t>
      </w:r>
      <w:r w:rsidRPr="0099292E">
        <w:rPr>
          <w:rFonts w:ascii="Times New Roman" w:eastAsia="Times New Roman" w:hAnsi="Times New Roman" w:cs="Times New Roman"/>
          <w:bCs/>
          <w:iCs/>
          <w:sz w:val="24"/>
          <w:szCs w:val="24"/>
        </w:rPr>
        <w:t xml:space="preserve"> suggest</w:t>
      </w:r>
      <w:r w:rsidR="009A08C3">
        <w:rPr>
          <w:rFonts w:ascii="Times New Roman" w:eastAsia="Times New Roman" w:hAnsi="Times New Roman" w:cs="Times New Roman"/>
          <w:bCs/>
          <w:iCs/>
          <w:sz w:val="24"/>
          <w:szCs w:val="24"/>
        </w:rPr>
        <w:t>s</w:t>
      </w:r>
      <w:r w:rsidRPr="0099292E">
        <w:rPr>
          <w:rFonts w:ascii="Times New Roman" w:eastAsia="Times New Roman" w:hAnsi="Times New Roman" w:cs="Times New Roman"/>
          <w:bCs/>
          <w:iCs/>
          <w:sz w:val="24"/>
          <w:szCs w:val="24"/>
        </w:rPr>
        <w:t xml:space="preserve"> that tax decisions are guided more by professional expertise and organizational factors than </w:t>
      </w:r>
      <w:r w:rsidR="009D7FF5">
        <w:rPr>
          <w:rFonts w:ascii="Times New Roman" w:eastAsia="Times New Roman" w:hAnsi="Times New Roman" w:cs="Times New Roman"/>
          <w:bCs/>
          <w:iCs/>
          <w:sz w:val="24"/>
          <w:szCs w:val="24"/>
        </w:rPr>
        <w:t xml:space="preserve">by </w:t>
      </w:r>
      <w:r w:rsidRPr="0099292E">
        <w:rPr>
          <w:rFonts w:ascii="Times New Roman" w:eastAsia="Times New Roman" w:hAnsi="Times New Roman" w:cs="Times New Roman"/>
          <w:bCs/>
          <w:iCs/>
          <w:sz w:val="24"/>
          <w:szCs w:val="24"/>
        </w:rPr>
        <w:t>gender. Still, some mixed findings exist, including evidence of higher tax avoidance in firms with greater female representation, potentially reflecting adaptation to prevailing business norms or pressures to demonstrate financial performance.</w:t>
      </w:r>
    </w:p>
    <w:p w14:paraId="5612E2A7" w14:textId="5C7A9AE8" w:rsidR="00C0782B" w:rsidRPr="0099292E" w:rsidRDefault="00C0782B"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Within ESG, the social pillar emphasizes a firm’s relationship with society, employees, and stakeholders, which may shape tax behavior through ethical expectations. CSR has been one of the most debated variables. </w:t>
      </w:r>
      <w:r w:rsidR="00710CF4" w:rsidRPr="0099292E">
        <w:rPr>
          <w:rFonts w:ascii="Times New Roman" w:eastAsia="Times New Roman" w:hAnsi="Times New Roman" w:cs="Times New Roman"/>
          <w:bCs/>
          <w:iCs/>
          <w:sz w:val="24"/>
          <w:szCs w:val="24"/>
        </w:rPr>
        <w:t>Some studies report a positive association between CSR and tax avoidance, often interpreted as a form of “greenwashing”, whereby firms employ CSR disclosures to conceal aggressive tax strategies</w:t>
      </w:r>
      <w:r w:rsidRPr="0099292E">
        <w:rPr>
          <w:rFonts w:ascii="Times New Roman" w:eastAsia="Times New Roman" w:hAnsi="Times New Roman" w:cs="Times New Roman"/>
          <w:bCs/>
          <w:iCs/>
          <w:sz w:val="24"/>
          <w:szCs w:val="24"/>
        </w:rPr>
        <w:t>. In contrast, many studies report negative or insignificant associations, suggesting that genuinely committed CSR firms tend to comply with taxes, recognizing them as a social contribution. Importantly, disclosure quality</w:t>
      </w:r>
      <w:r w:rsidR="00275AB2" w:rsidRPr="0099292E">
        <w:rPr>
          <w:rFonts w:ascii="Times New Roman" w:eastAsia="Times New Roman" w:hAnsi="Times New Roman" w:cs="Times New Roman"/>
          <w:bCs/>
          <w:iCs/>
          <w:sz w:val="24"/>
          <w:szCs w:val="24"/>
        </w:rPr>
        <w:t xml:space="preserve">, </w:t>
      </w:r>
      <w:r w:rsidRPr="0099292E">
        <w:rPr>
          <w:rFonts w:ascii="Times New Roman" w:eastAsia="Times New Roman" w:hAnsi="Times New Roman" w:cs="Times New Roman"/>
          <w:bCs/>
          <w:iCs/>
          <w:sz w:val="24"/>
          <w:szCs w:val="24"/>
        </w:rPr>
        <w:t>rather than volume</w:t>
      </w:r>
      <w:r w:rsidR="00275AB2" w:rsidRPr="0099292E">
        <w:rPr>
          <w:rFonts w:ascii="Times New Roman" w:eastAsia="Times New Roman" w:hAnsi="Times New Roman" w:cs="Times New Roman"/>
          <w:bCs/>
          <w:iCs/>
          <w:sz w:val="24"/>
          <w:szCs w:val="24"/>
        </w:rPr>
        <w:t xml:space="preserve">, </w:t>
      </w:r>
      <w:r w:rsidRPr="0099292E">
        <w:rPr>
          <w:rFonts w:ascii="Times New Roman" w:eastAsia="Times New Roman" w:hAnsi="Times New Roman" w:cs="Times New Roman"/>
          <w:bCs/>
          <w:iCs/>
          <w:sz w:val="24"/>
          <w:szCs w:val="24"/>
        </w:rPr>
        <w:t xml:space="preserve">appears decisive: high-quality CSR reporting is associated with stronger tax compliance. Profitability may further reinforce this relationship, as highly profitable </w:t>
      </w:r>
      <w:r w:rsidR="00B7636D" w:rsidRPr="0099292E">
        <w:rPr>
          <w:rFonts w:ascii="Times New Roman" w:eastAsia="Times New Roman" w:hAnsi="Times New Roman" w:cs="Times New Roman"/>
          <w:bCs/>
          <w:iCs/>
          <w:sz w:val="24"/>
          <w:szCs w:val="24"/>
        </w:rPr>
        <w:t>firms that prioritize social responsibility tend to be less likely to engage in tax avoidance</w:t>
      </w:r>
      <w:r w:rsidRPr="0099292E">
        <w:rPr>
          <w:rFonts w:ascii="Times New Roman" w:eastAsia="Times New Roman" w:hAnsi="Times New Roman" w:cs="Times New Roman"/>
          <w:bCs/>
          <w:iCs/>
          <w:sz w:val="24"/>
          <w:szCs w:val="24"/>
        </w:rPr>
        <w:t>.</w:t>
      </w:r>
    </w:p>
    <w:p w14:paraId="19ECD41C" w14:textId="7078C6CE" w:rsidR="00275AB2" w:rsidRPr="002C008D" w:rsidRDefault="00C0782B" w:rsidP="002C008D">
      <w:pPr>
        <w:spacing w:after="0"/>
        <w:ind w:firstLine="426"/>
        <w:contextualSpacing/>
        <w:jc w:val="both"/>
        <w:rPr>
          <w:rFonts w:ascii="Times New Roman" w:eastAsia="Times New Roman" w:hAnsi="Times New Roman" w:cs="Times New Roman"/>
          <w:bCs/>
          <w:iCs/>
          <w:sz w:val="24"/>
          <w:szCs w:val="24"/>
          <w:lang w:val="id-ID"/>
        </w:rPr>
      </w:pPr>
      <w:r w:rsidRPr="0099292E">
        <w:rPr>
          <w:rFonts w:ascii="Times New Roman" w:eastAsia="Times New Roman" w:hAnsi="Times New Roman" w:cs="Times New Roman"/>
          <w:bCs/>
          <w:iCs/>
          <w:sz w:val="24"/>
          <w:szCs w:val="24"/>
        </w:rPr>
        <w:t xml:space="preserve">The environmental dimension of ESG focuses on corporate ecological impact, assessed through disclosures and metrics that may influence tax behavior. </w:t>
      </w:r>
      <w:r w:rsidR="00710CF4" w:rsidRPr="0099292E">
        <w:rPr>
          <w:rFonts w:ascii="Times New Roman" w:eastAsia="Times New Roman" w:hAnsi="Times New Roman" w:cs="Times New Roman"/>
          <w:bCs/>
          <w:iCs/>
          <w:sz w:val="24"/>
          <w:szCs w:val="24"/>
        </w:rPr>
        <w:t>Environmental uncertainty is frequently associated with higher levels of tax avoidance, as firms attempt to safeguard liquidity amid unpredictable conditions</w:t>
      </w:r>
      <w:r w:rsidRPr="0099292E">
        <w:rPr>
          <w:rFonts w:ascii="Times New Roman" w:eastAsia="Times New Roman" w:hAnsi="Times New Roman" w:cs="Times New Roman"/>
          <w:bCs/>
          <w:iCs/>
          <w:sz w:val="24"/>
          <w:szCs w:val="24"/>
        </w:rPr>
        <w:t xml:space="preserve">. Yet this effect may be mitigated by </w:t>
      </w:r>
      <w:r w:rsidRPr="0099292E">
        <w:rPr>
          <w:rFonts w:ascii="Times New Roman" w:eastAsia="Times New Roman" w:hAnsi="Times New Roman" w:cs="Times New Roman"/>
          <w:bCs/>
          <w:iCs/>
          <w:sz w:val="24"/>
          <w:szCs w:val="24"/>
        </w:rPr>
        <w:lastRenderedPageBreak/>
        <w:t>managerial competence: skilled managers can navigate uncertainty without resorting to aggressive tax practices. Sustainability reporting shows a similar dual role</w:t>
      </w:r>
      <w:r w:rsidR="00275AB2" w:rsidRPr="0099292E">
        <w:rPr>
          <w:rFonts w:ascii="Times New Roman" w:eastAsia="Times New Roman" w:hAnsi="Times New Roman" w:cs="Times New Roman"/>
          <w:bCs/>
          <w:iCs/>
          <w:sz w:val="24"/>
          <w:szCs w:val="24"/>
        </w:rPr>
        <w:t xml:space="preserve">, </w:t>
      </w:r>
      <w:r w:rsidRPr="0099292E">
        <w:rPr>
          <w:rFonts w:ascii="Times New Roman" w:eastAsia="Times New Roman" w:hAnsi="Times New Roman" w:cs="Times New Roman"/>
          <w:bCs/>
          <w:iCs/>
          <w:sz w:val="24"/>
          <w:szCs w:val="24"/>
        </w:rPr>
        <w:t xml:space="preserve">serving as an ethical compliance indicator and a strategic communication tool </w:t>
      </w:r>
      <w:r w:rsidR="002C008D">
        <w:rPr>
          <w:rFonts w:ascii="Times New Roman" w:eastAsia="Times New Roman" w:hAnsi="Times New Roman" w:cs="Times New Roman"/>
          <w:bCs/>
          <w:iCs/>
          <w:sz w:val="24"/>
          <w:szCs w:val="24"/>
        </w:rPr>
        <w:t>for corporate image management.</w:t>
      </w:r>
    </w:p>
    <w:p w14:paraId="53A8E0DC" w14:textId="644B078E" w:rsidR="00275AB2" w:rsidRPr="002C008D" w:rsidRDefault="00275AB2" w:rsidP="00B46924">
      <w:pPr>
        <w:spacing w:after="0"/>
        <w:contextualSpacing/>
        <w:jc w:val="both"/>
        <w:rPr>
          <w:rFonts w:ascii="Times New Roman" w:eastAsia="Times New Roman" w:hAnsi="Times New Roman" w:cs="Times New Roman"/>
          <w:b/>
          <w:i/>
          <w:iCs/>
          <w:sz w:val="24"/>
          <w:szCs w:val="24"/>
        </w:rPr>
      </w:pPr>
      <w:r w:rsidRPr="002C008D">
        <w:rPr>
          <w:rFonts w:ascii="Times New Roman" w:eastAsia="Times New Roman" w:hAnsi="Times New Roman" w:cs="Times New Roman"/>
          <w:b/>
          <w:i/>
          <w:iCs/>
          <w:sz w:val="24"/>
          <w:szCs w:val="24"/>
        </w:rPr>
        <w:t>Discussion and Future Research Directions</w:t>
      </w:r>
    </w:p>
    <w:p w14:paraId="0AC8378B" w14:textId="298CE9A1" w:rsidR="005C1EE9" w:rsidRPr="0099292E" w:rsidRDefault="005C1EE9"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The </w:t>
      </w:r>
      <w:r w:rsidR="00B7636D" w:rsidRPr="0099292E">
        <w:rPr>
          <w:rFonts w:ascii="Times New Roman" w:eastAsia="Times New Roman" w:hAnsi="Times New Roman" w:cs="Times New Roman"/>
          <w:bCs/>
          <w:iCs/>
          <w:sz w:val="24"/>
          <w:szCs w:val="24"/>
        </w:rPr>
        <w:t>SLR</w:t>
      </w:r>
      <w:r w:rsidRPr="0099292E">
        <w:rPr>
          <w:rFonts w:ascii="Times New Roman" w:eastAsia="Times New Roman" w:hAnsi="Times New Roman" w:cs="Times New Roman"/>
          <w:bCs/>
          <w:iCs/>
          <w:sz w:val="24"/>
          <w:szCs w:val="24"/>
        </w:rPr>
        <w:t xml:space="preserve"> of 66 articles published</w:t>
      </w:r>
      <w:r w:rsidR="00B7636D" w:rsidRPr="0099292E">
        <w:rPr>
          <w:rFonts w:ascii="Times New Roman" w:eastAsia="Times New Roman" w:hAnsi="Times New Roman" w:cs="Times New Roman"/>
          <w:bCs/>
          <w:iCs/>
          <w:sz w:val="24"/>
          <w:szCs w:val="24"/>
        </w:rPr>
        <w:t xml:space="preserve"> from</w:t>
      </w:r>
      <w:r w:rsidRPr="0099292E">
        <w:rPr>
          <w:rFonts w:ascii="Times New Roman" w:eastAsia="Times New Roman" w:hAnsi="Times New Roman" w:cs="Times New Roman"/>
          <w:bCs/>
          <w:iCs/>
          <w:sz w:val="24"/>
          <w:szCs w:val="24"/>
        </w:rPr>
        <w:t xml:space="preserve"> 2015 </w:t>
      </w:r>
      <w:r w:rsidR="00B7636D" w:rsidRPr="0099292E">
        <w:rPr>
          <w:rFonts w:ascii="Times New Roman" w:eastAsia="Times New Roman" w:hAnsi="Times New Roman" w:cs="Times New Roman"/>
          <w:bCs/>
          <w:iCs/>
          <w:sz w:val="24"/>
          <w:szCs w:val="24"/>
        </w:rPr>
        <w:t>to</w:t>
      </w:r>
      <w:r w:rsidRPr="0099292E">
        <w:rPr>
          <w:rFonts w:ascii="Times New Roman" w:eastAsia="Times New Roman" w:hAnsi="Times New Roman" w:cs="Times New Roman"/>
          <w:bCs/>
          <w:iCs/>
          <w:sz w:val="24"/>
          <w:szCs w:val="24"/>
        </w:rPr>
        <w:t xml:space="preserve"> 2025 indicates that Indonesian research on ESG and tax avoidance remains heavily concentrated on the Governance pillar. The most frequently used proxies are institutional ownership, audit committees, and independent commissioners, with Agency Theory as the dominant theoretical framework. The Social pillar is primarily represented through CSR variables, yet the empirical evidence is inconsistent, while the Environmental pillar has received only limited attention. Methodologically, most studies rely on quantitative approaches using secondary data, adopt the Effective Tax Rate (ETR) as the main proxy for tax avoidance, and focus predominantly on firms in the manufacturing sector.</w:t>
      </w:r>
    </w:p>
    <w:p w14:paraId="059A459A" w14:textId="31333A69" w:rsidR="005C1EE9" w:rsidRPr="0099292E" w:rsidRDefault="00710CF4"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These patterns highlight the inherent complexity of the ESG–tax avoidance nexus</w:t>
      </w:r>
      <w:r w:rsidR="005C1EE9" w:rsidRPr="0099292E">
        <w:rPr>
          <w:rFonts w:ascii="Times New Roman" w:eastAsia="Times New Roman" w:hAnsi="Times New Roman" w:cs="Times New Roman"/>
          <w:bCs/>
          <w:iCs/>
          <w:sz w:val="24"/>
          <w:szCs w:val="24"/>
        </w:rPr>
        <w:t>. Stronger governance structures are often associated with lower tax aggressiveness but</w:t>
      </w:r>
      <w:r w:rsidR="00374F9D">
        <w:rPr>
          <w:rFonts w:ascii="Times New Roman" w:eastAsia="Times New Roman" w:hAnsi="Times New Roman" w:cs="Times New Roman"/>
          <w:bCs/>
          <w:iCs/>
          <w:sz w:val="24"/>
          <w:szCs w:val="24"/>
        </w:rPr>
        <w:t xml:space="preserve"> </w:t>
      </w:r>
      <w:r w:rsidR="005C1EE9" w:rsidRPr="0099292E">
        <w:rPr>
          <w:rFonts w:ascii="Times New Roman" w:eastAsia="Times New Roman" w:hAnsi="Times New Roman" w:cs="Times New Roman"/>
          <w:bCs/>
          <w:iCs/>
          <w:sz w:val="24"/>
          <w:szCs w:val="24"/>
        </w:rPr>
        <w:t xml:space="preserve">may also enable sophisticated tax planning. Well-structured boards can simultaneously restrict opportunistic behavior and provide oversight that legitimizes efficient yet aggressive strategies, suggesting that future research should test non-linear and interaction effects. </w:t>
      </w:r>
      <w:r w:rsidRPr="0099292E">
        <w:rPr>
          <w:rFonts w:ascii="Times New Roman" w:eastAsia="Times New Roman" w:hAnsi="Times New Roman" w:cs="Times New Roman"/>
          <w:bCs/>
          <w:iCs/>
          <w:sz w:val="24"/>
          <w:szCs w:val="24"/>
        </w:rPr>
        <w:t xml:space="preserve">Similarly, reliance on ETR alone obscures </w:t>
      </w:r>
      <w:r w:rsidR="009A08C3">
        <w:rPr>
          <w:rFonts w:ascii="Times New Roman" w:eastAsia="Times New Roman" w:hAnsi="Times New Roman" w:cs="Times New Roman"/>
          <w:bCs/>
          <w:iCs/>
          <w:sz w:val="24"/>
          <w:szCs w:val="24"/>
        </w:rPr>
        <w:t>vital</w:t>
      </w:r>
      <w:r w:rsidR="009A08C3" w:rsidRPr="0099292E">
        <w:rPr>
          <w:rFonts w:ascii="Times New Roman" w:eastAsia="Times New Roman" w:hAnsi="Times New Roman" w:cs="Times New Roman"/>
          <w:bCs/>
          <w:iCs/>
          <w:sz w:val="24"/>
          <w:szCs w:val="24"/>
        </w:rPr>
        <w:t xml:space="preserve"> </w:t>
      </w:r>
      <w:r w:rsidRPr="0099292E">
        <w:rPr>
          <w:rFonts w:ascii="Times New Roman" w:eastAsia="Times New Roman" w:hAnsi="Times New Roman" w:cs="Times New Roman"/>
          <w:bCs/>
          <w:iCs/>
          <w:sz w:val="24"/>
          <w:szCs w:val="24"/>
        </w:rPr>
        <w:t xml:space="preserve">distinctions, as it conflates temporary tax benefits, loss carryforwards, and </w:t>
      </w:r>
      <w:r w:rsidR="000411A1" w:rsidRPr="0099292E">
        <w:rPr>
          <w:rFonts w:ascii="Times New Roman" w:eastAsia="Times New Roman" w:hAnsi="Times New Roman" w:cs="Times New Roman"/>
          <w:bCs/>
          <w:iCs/>
          <w:sz w:val="24"/>
          <w:szCs w:val="24"/>
        </w:rPr>
        <w:t>l</w:t>
      </w:r>
      <w:r w:rsidRPr="0099292E">
        <w:rPr>
          <w:rFonts w:ascii="Times New Roman" w:eastAsia="Times New Roman" w:hAnsi="Times New Roman" w:cs="Times New Roman"/>
          <w:bCs/>
          <w:iCs/>
          <w:sz w:val="24"/>
          <w:szCs w:val="24"/>
        </w:rPr>
        <w:t>egitimate tax planning</w:t>
      </w:r>
      <w:r w:rsidR="005C1EE9" w:rsidRPr="0099292E">
        <w:rPr>
          <w:rFonts w:ascii="Times New Roman" w:eastAsia="Times New Roman" w:hAnsi="Times New Roman" w:cs="Times New Roman"/>
          <w:bCs/>
          <w:iCs/>
          <w:sz w:val="24"/>
          <w:szCs w:val="24"/>
        </w:rPr>
        <w:t>. Studies employing multiple measures, such as Book-Tax Differences and CETR, demonstrate varying effect sizes, highlighting the importance of measurement pluralism.</w:t>
      </w:r>
    </w:p>
    <w:p w14:paraId="11015D36" w14:textId="35E8B81B" w:rsidR="005C1EE9" w:rsidRPr="0099292E" w:rsidRDefault="005C1EE9"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The evidence concerning CSR disclosure further illustrates this duality. </w:t>
      </w:r>
      <w:r w:rsidR="00710CF4" w:rsidRPr="0099292E">
        <w:rPr>
          <w:rFonts w:ascii="Times New Roman" w:eastAsia="Times New Roman" w:hAnsi="Times New Roman" w:cs="Times New Roman"/>
          <w:bCs/>
          <w:iCs/>
          <w:sz w:val="24"/>
          <w:szCs w:val="24"/>
        </w:rPr>
        <w:t>While CSR may reflect genuine social commitment that discourages aggressive tax behavior, it can also function as symbolic legitimation or “window-dressing”, masking tax aggressiveness</w:t>
      </w:r>
      <w:r w:rsidRPr="0099292E">
        <w:rPr>
          <w:rFonts w:ascii="Times New Roman" w:eastAsia="Times New Roman" w:hAnsi="Times New Roman" w:cs="Times New Roman"/>
          <w:bCs/>
          <w:iCs/>
          <w:sz w:val="24"/>
          <w:szCs w:val="24"/>
        </w:rPr>
        <w:t>. Distinguishing disclosure quality from quantity, and triangulating with observable outcomes such as tax penalties, audits, or environmental performance, will clarify these dynamics.</w:t>
      </w:r>
    </w:p>
    <w:p w14:paraId="191CE1DB" w14:textId="143AD87B" w:rsidR="005C1EE9" w:rsidRPr="0099292E" w:rsidRDefault="005C1EE9"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Limitations also stem from the narrow empirical scope. </w:t>
      </w:r>
      <w:r w:rsidR="00710CF4" w:rsidRPr="0099292E">
        <w:rPr>
          <w:rFonts w:ascii="Times New Roman" w:eastAsia="Times New Roman" w:hAnsi="Times New Roman" w:cs="Times New Roman"/>
          <w:bCs/>
          <w:iCs/>
          <w:sz w:val="24"/>
          <w:szCs w:val="24"/>
        </w:rPr>
        <w:t xml:space="preserve">Sectoral bias toward manufacturing and limited data availability </w:t>
      </w:r>
      <w:r w:rsidR="009A08C3" w:rsidRPr="0099292E">
        <w:rPr>
          <w:rFonts w:ascii="Times New Roman" w:eastAsia="Times New Roman" w:hAnsi="Times New Roman" w:cs="Times New Roman"/>
          <w:bCs/>
          <w:iCs/>
          <w:sz w:val="24"/>
          <w:szCs w:val="24"/>
        </w:rPr>
        <w:t>constrain</w:t>
      </w:r>
      <w:r w:rsidR="00710CF4" w:rsidRPr="0099292E">
        <w:rPr>
          <w:rFonts w:ascii="Times New Roman" w:eastAsia="Times New Roman" w:hAnsi="Times New Roman" w:cs="Times New Roman"/>
          <w:bCs/>
          <w:iCs/>
          <w:sz w:val="24"/>
          <w:szCs w:val="24"/>
        </w:rPr>
        <w:t xml:space="preserve"> the generalizability of findings, while the predominance of correlational designs raises </w:t>
      </w:r>
      <w:r w:rsidR="009A08C3" w:rsidRPr="0099292E">
        <w:rPr>
          <w:rFonts w:ascii="Times New Roman" w:eastAsia="Times New Roman" w:hAnsi="Times New Roman" w:cs="Times New Roman"/>
          <w:bCs/>
          <w:iCs/>
          <w:sz w:val="24"/>
          <w:szCs w:val="24"/>
        </w:rPr>
        <w:t xml:space="preserve">endogeneity </w:t>
      </w:r>
      <w:r w:rsidR="00710CF4" w:rsidRPr="0099292E">
        <w:rPr>
          <w:rFonts w:ascii="Times New Roman" w:eastAsia="Times New Roman" w:hAnsi="Times New Roman" w:cs="Times New Roman"/>
          <w:bCs/>
          <w:iCs/>
          <w:sz w:val="24"/>
          <w:szCs w:val="24"/>
        </w:rPr>
        <w:t>concerns</w:t>
      </w:r>
      <w:r w:rsidRPr="0099292E">
        <w:rPr>
          <w:rFonts w:ascii="Times New Roman" w:eastAsia="Times New Roman" w:hAnsi="Times New Roman" w:cs="Times New Roman"/>
          <w:bCs/>
          <w:iCs/>
          <w:sz w:val="24"/>
          <w:szCs w:val="24"/>
        </w:rPr>
        <w:t xml:space="preserve">. Moreover, institutional and regulatory contexts, such as enforcement effectiveness, oversight capacity, investor sensitivity, and media scrutiny, </w:t>
      </w:r>
      <w:r w:rsidR="009A08C3">
        <w:rPr>
          <w:rFonts w:ascii="Times New Roman" w:eastAsia="Times New Roman" w:hAnsi="Times New Roman" w:cs="Times New Roman"/>
          <w:bCs/>
          <w:iCs/>
          <w:sz w:val="24"/>
          <w:szCs w:val="24"/>
        </w:rPr>
        <w:t>significantly shape</w:t>
      </w:r>
      <w:r w:rsidRPr="0099292E">
        <w:rPr>
          <w:rFonts w:ascii="Times New Roman" w:eastAsia="Times New Roman" w:hAnsi="Times New Roman" w:cs="Times New Roman"/>
          <w:bCs/>
          <w:iCs/>
          <w:sz w:val="24"/>
          <w:szCs w:val="24"/>
        </w:rPr>
        <w:t xml:space="preserve"> ESG–tax interactions in Indonesia.</w:t>
      </w:r>
    </w:p>
    <w:p w14:paraId="1BD7493B" w14:textId="672BFCE6" w:rsidR="005C1EE9" w:rsidRPr="0099292E" w:rsidRDefault="009A08C3" w:rsidP="00B46924">
      <w:pPr>
        <w:spacing w:after="0"/>
        <w:ind w:firstLine="426"/>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The</w:t>
      </w:r>
      <w:r w:rsidR="005C1EE9" w:rsidRPr="0099292E">
        <w:rPr>
          <w:rFonts w:ascii="Times New Roman" w:eastAsia="Times New Roman" w:hAnsi="Times New Roman" w:cs="Times New Roman"/>
          <w:bCs/>
          <w:iCs/>
          <w:sz w:val="24"/>
          <w:szCs w:val="24"/>
        </w:rPr>
        <w:t xml:space="preserve"> findings suggest that ESG influences tax avoidance through multiple mechanisms. Governance serves as a monitoring channel that constrains managerial opportunism, whereas social and environmental commitments raise reputational costs that can </w:t>
      </w:r>
      <w:r w:rsidR="004065D2">
        <w:rPr>
          <w:rFonts w:ascii="Times New Roman" w:eastAsia="Times New Roman" w:hAnsi="Times New Roman" w:cs="Times New Roman"/>
          <w:bCs/>
          <w:iCs/>
          <w:sz w:val="24"/>
          <w:szCs w:val="24"/>
        </w:rPr>
        <w:t>deter aggressive tax practices.</w:t>
      </w:r>
      <w:r w:rsidR="004065D2">
        <w:rPr>
          <w:rFonts w:ascii="Times New Roman" w:eastAsia="Times New Roman" w:hAnsi="Times New Roman" w:cs="Times New Roman"/>
          <w:bCs/>
          <w:iCs/>
          <w:sz w:val="24"/>
          <w:szCs w:val="24"/>
          <w:lang w:val="id-ID"/>
        </w:rPr>
        <w:t xml:space="preserve"> </w:t>
      </w:r>
      <w:r w:rsidR="005C1EE9" w:rsidRPr="0099292E">
        <w:rPr>
          <w:rFonts w:ascii="Times New Roman" w:eastAsia="Times New Roman" w:hAnsi="Times New Roman" w:cs="Times New Roman"/>
          <w:bCs/>
          <w:iCs/>
          <w:sz w:val="24"/>
          <w:szCs w:val="24"/>
        </w:rPr>
        <w:t>Yet, symbolic disclosures, resource constraints, and political connections may mitigate or facilitate tax avoidance depending on firm-specific conditions.</w:t>
      </w:r>
    </w:p>
    <w:p w14:paraId="281602CD" w14:textId="4E7984C4" w:rsidR="005C1EE9" w:rsidRPr="0099292E" w:rsidRDefault="005C1EE9"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Overall, research on ESG and tax avoidance in Indonesia remains at an early stage, characterized by a narrow and fragmented scope. Future studies should broaden attention </w:t>
      </w:r>
      <w:r w:rsidRPr="0099292E">
        <w:rPr>
          <w:rFonts w:ascii="Times New Roman" w:eastAsia="Times New Roman" w:hAnsi="Times New Roman" w:cs="Times New Roman"/>
          <w:bCs/>
          <w:iCs/>
          <w:sz w:val="24"/>
          <w:szCs w:val="24"/>
        </w:rPr>
        <w:lastRenderedPageBreak/>
        <w:t>to the Social and Environmental pillars by employing more diverse indicators, adopt</w:t>
      </w:r>
      <w:r w:rsidR="00CF2ACB">
        <w:rPr>
          <w:rFonts w:ascii="Times New Roman" w:eastAsia="Times New Roman" w:hAnsi="Times New Roman" w:cs="Times New Roman"/>
          <w:bCs/>
          <w:iCs/>
          <w:sz w:val="24"/>
          <w:szCs w:val="24"/>
        </w:rPr>
        <w:t>ing</w:t>
      </w:r>
      <w:r w:rsidRPr="0099292E">
        <w:rPr>
          <w:rFonts w:ascii="Times New Roman" w:eastAsia="Times New Roman" w:hAnsi="Times New Roman" w:cs="Times New Roman"/>
          <w:bCs/>
          <w:iCs/>
          <w:sz w:val="24"/>
          <w:szCs w:val="24"/>
        </w:rPr>
        <w:t xml:space="preserve"> comprehensive measures of tax avoidance, and apply</w:t>
      </w:r>
      <w:r w:rsidR="00CF2ACB">
        <w:rPr>
          <w:rFonts w:ascii="Times New Roman" w:eastAsia="Times New Roman" w:hAnsi="Times New Roman" w:cs="Times New Roman"/>
          <w:bCs/>
          <w:iCs/>
          <w:sz w:val="24"/>
          <w:szCs w:val="24"/>
        </w:rPr>
        <w:t>ing</w:t>
      </w:r>
      <w:r w:rsidRPr="0099292E">
        <w:rPr>
          <w:rFonts w:ascii="Times New Roman" w:eastAsia="Times New Roman" w:hAnsi="Times New Roman" w:cs="Times New Roman"/>
          <w:bCs/>
          <w:iCs/>
          <w:sz w:val="24"/>
          <w:szCs w:val="24"/>
        </w:rPr>
        <w:t xml:space="preserve"> research designs capable of establishing causal relationships. Expanding the sectoral focus beyond manufacturing and incorporating alternative theoretical frameworks, such as Stakeholder or Institutional Theory, will enrich understanding. Furthermore, examining the role of sustainability-oriented tax regulations and institutional contexts is essential to address a fundamental question: </w:t>
      </w:r>
      <w:r w:rsidR="00CF2ACB">
        <w:rPr>
          <w:rFonts w:ascii="Times New Roman" w:eastAsia="Times New Roman" w:hAnsi="Times New Roman" w:cs="Times New Roman"/>
          <w:bCs/>
          <w:iCs/>
          <w:sz w:val="24"/>
          <w:szCs w:val="24"/>
        </w:rPr>
        <w:t>D</w:t>
      </w:r>
      <w:r w:rsidRPr="0099292E">
        <w:rPr>
          <w:rFonts w:ascii="Times New Roman" w:eastAsia="Times New Roman" w:hAnsi="Times New Roman" w:cs="Times New Roman"/>
          <w:bCs/>
          <w:iCs/>
          <w:sz w:val="24"/>
          <w:szCs w:val="24"/>
        </w:rPr>
        <w:t>oes ESG genuinely improve tax compliance, or does it primarily function as a legitimacy tool to obscure aggressive tax strategies?</w:t>
      </w:r>
    </w:p>
    <w:p w14:paraId="74D37D81" w14:textId="041155D2" w:rsidR="00104E33" w:rsidRPr="0099292E" w:rsidRDefault="00104E33" w:rsidP="00B46924">
      <w:pPr>
        <w:spacing w:after="0"/>
        <w:ind w:firstLine="426"/>
        <w:contextualSpacing/>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Drawing from the SLR synthesis, several avenues for future research are identified:</w:t>
      </w:r>
    </w:p>
    <w:p w14:paraId="769B2D72" w14:textId="756F424E" w:rsidR="00D45195" w:rsidRPr="0099292E" w:rsidRDefault="00D45195" w:rsidP="00B46924">
      <w:pPr>
        <w:pStyle w:val="ListParagraph"/>
        <w:numPr>
          <w:ilvl w:val="0"/>
          <w:numId w:val="9"/>
        </w:numPr>
        <w:spacing w:after="0"/>
        <w:ind w:left="425" w:hanging="425"/>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ESG research should not rely solely on CSR disclosure. Future studies need to incorporate more diverse indicators, such as carbon emissions, energy intensity, workplace safety, community relations, and labor practices, </w:t>
      </w:r>
      <w:r w:rsidR="009A08C3" w:rsidRPr="0099292E">
        <w:rPr>
          <w:rFonts w:ascii="Times New Roman" w:eastAsia="Times New Roman" w:hAnsi="Times New Roman" w:cs="Times New Roman"/>
          <w:bCs/>
          <w:iCs/>
          <w:sz w:val="24"/>
          <w:szCs w:val="24"/>
        </w:rPr>
        <w:t>to</w:t>
      </w:r>
      <w:r w:rsidRPr="0099292E">
        <w:rPr>
          <w:rFonts w:ascii="Times New Roman" w:eastAsia="Times New Roman" w:hAnsi="Times New Roman" w:cs="Times New Roman"/>
          <w:bCs/>
          <w:iCs/>
          <w:sz w:val="24"/>
          <w:szCs w:val="24"/>
        </w:rPr>
        <w:t xml:space="preserve"> </w:t>
      </w:r>
      <w:r w:rsidR="00B7636D" w:rsidRPr="0099292E">
        <w:rPr>
          <w:rFonts w:ascii="Times New Roman" w:eastAsia="Times New Roman" w:hAnsi="Times New Roman" w:cs="Times New Roman"/>
          <w:bCs/>
          <w:iCs/>
          <w:sz w:val="24"/>
          <w:szCs w:val="24"/>
        </w:rPr>
        <w:t>offer a more comprehensive insight into the ESG–tax avoidance nexus.</w:t>
      </w:r>
    </w:p>
    <w:p w14:paraId="1722AFEB" w14:textId="77777777" w:rsidR="00D45195" w:rsidRPr="0099292E" w:rsidRDefault="00D45195" w:rsidP="00B46924">
      <w:pPr>
        <w:pStyle w:val="ListParagraph"/>
        <w:numPr>
          <w:ilvl w:val="0"/>
          <w:numId w:val="9"/>
        </w:numPr>
        <w:spacing w:after="0"/>
        <w:ind w:left="425" w:hanging="425"/>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Measures of tax avoidance should be broadened through the use of Book-Tax Differences (BTD), Cash Effective Tax Rate (CETR), and abnormal accrual-based measures. In addition, longitudinal and mixed-method approaches are necessary to capture long-term dynamics and strengthen the validity of findings.</w:t>
      </w:r>
    </w:p>
    <w:p w14:paraId="56600F30" w14:textId="77777777" w:rsidR="00D45195" w:rsidRPr="0099292E" w:rsidRDefault="00D45195" w:rsidP="00B46924">
      <w:pPr>
        <w:pStyle w:val="ListParagraph"/>
        <w:numPr>
          <w:ilvl w:val="0"/>
          <w:numId w:val="9"/>
        </w:numPr>
        <w:spacing w:after="0"/>
        <w:ind w:left="425" w:hanging="425"/>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The dominance of the manufacturing sector needs to be balanced by expanding research to other industries, including services, technology, renewable energy, and multinational firms. Such diversification will yield more comprehensive insights and ensure greater relevance to the sustainable development and green economy agenda.</w:t>
      </w:r>
    </w:p>
    <w:p w14:paraId="3E161057" w14:textId="0F66FD46" w:rsidR="00D45195" w:rsidRPr="0099292E" w:rsidRDefault="00D45195" w:rsidP="00B46924">
      <w:pPr>
        <w:pStyle w:val="ListParagraph"/>
        <w:numPr>
          <w:ilvl w:val="0"/>
          <w:numId w:val="9"/>
        </w:numPr>
        <w:spacing w:after="0"/>
        <w:ind w:left="425" w:hanging="425"/>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 xml:space="preserve">The limitations of Agency Theory in explaining inconsistent findings necessitate the application of other theoretical perspectives. Institutional Theory, Stakeholder Theory, and Resource Dependence Theory offer complementary lenses </w:t>
      </w:r>
      <w:r w:rsidR="009A08C3">
        <w:rPr>
          <w:rFonts w:ascii="Times New Roman" w:eastAsia="Times New Roman" w:hAnsi="Times New Roman" w:cs="Times New Roman"/>
          <w:bCs/>
          <w:iCs/>
          <w:sz w:val="24"/>
          <w:szCs w:val="24"/>
        </w:rPr>
        <w:t>to</w:t>
      </w:r>
      <w:r w:rsidRPr="0099292E">
        <w:rPr>
          <w:rFonts w:ascii="Times New Roman" w:eastAsia="Times New Roman" w:hAnsi="Times New Roman" w:cs="Times New Roman"/>
          <w:bCs/>
          <w:iCs/>
          <w:sz w:val="24"/>
          <w:szCs w:val="24"/>
        </w:rPr>
        <w:t xml:space="preserve"> enrich the understanding of the ESG–tax avoidance nexus.</w:t>
      </w:r>
    </w:p>
    <w:p w14:paraId="2BDD9515" w14:textId="7D0F151B" w:rsidR="00D45195" w:rsidRPr="0099292E" w:rsidRDefault="00610DBA" w:rsidP="00B46924">
      <w:pPr>
        <w:pStyle w:val="ListParagraph"/>
        <w:numPr>
          <w:ilvl w:val="0"/>
          <w:numId w:val="9"/>
        </w:numPr>
        <w:spacing w:after="0"/>
        <w:ind w:left="425" w:hanging="425"/>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Future research should investigate the role of emerging regulations, such as carbon taxes or green investment incentives, as potential moderating variables that may alter the direction and magnitude of the ESG–tax avoidance relationship</w:t>
      </w:r>
      <w:r w:rsidR="00D45195" w:rsidRPr="0099292E">
        <w:rPr>
          <w:rFonts w:ascii="Times New Roman" w:eastAsia="Times New Roman" w:hAnsi="Times New Roman" w:cs="Times New Roman"/>
          <w:bCs/>
          <w:iCs/>
          <w:sz w:val="24"/>
          <w:szCs w:val="24"/>
        </w:rPr>
        <w:t>.</w:t>
      </w:r>
    </w:p>
    <w:p w14:paraId="3D331926" w14:textId="23A46863" w:rsidR="004A1730" w:rsidRPr="0099292E" w:rsidRDefault="00610DBA" w:rsidP="00B46924">
      <w:pPr>
        <w:pStyle w:val="ListParagraph"/>
        <w:numPr>
          <w:ilvl w:val="0"/>
          <w:numId w:val="9"/>
        </w:numPr>
        <w:spacing w:after="0"/>
        <w:ind w:left="425" w:hanging="425"/>
        <w:jc w:val="both"/>
        <w:rPr>
          <w:rFonts w:ascii="Times New Roman" w:eastAsia="Times New Roman" w:hAnsi="Times New Roman" w:cs="Times New Roman"/>
          <w:bCs/>
          <w:iCs/>
          <w:sz w:val="24"/>
          <w:szCs w:val="24"/>
        </w:rPr>
      </w:pPr>
      <w:r w:rsidRPr="0099292E">
        <w:rPr>
          <w:rFonts w:ascii="Times New Roman" w:eastAsia="Times New Roman" w:hAnsi="Times New Roman" w:cs="Times New Roman"/>
          <w:bCs/>
          <w:iCs/>
          <w:sz w:val="24"/>
          <w:szCs w:val="24"/>
        </w:rPr>
        <w:t>Future studies should differentiate substantive ESG practices from symbolic initiatives</w:t>
      </w:r>
      <w:r w:rsidR="00D45195" w:rsidRPr="0099292E">
        <w:rPr>
          <w:rFonts w:ascii="Times New Roman" w:eastAsia="Times New Roman" w:hAnsi="Times New Roman" w:cs="Times New Roman"/>
          <w:bCs/>
          <w:iCs/>
          <w:sz w:val="24"/>
          <w:szCs w:val="24"/>
        </w:rPr>
        <w:t>. This can be achieved by assessing the quality of disclosures and triangulating them with evidence of actual corporate behavior, such as tax payments, penalties, and involvement in tax-related litigation.</w:t>
      </w:r>
    </w:p>
    <w:p w14:paraId="387D8081" w14:textId="77777777" w:rsidR="00C50ECD" w:rsidRPr="0099292E" w:rsidRDefault="00C50ECD" w:rsidP="00C50ECD">
      <w:pPr>
        <w:spacing w:after="0"/>
        <w:contextualSpacing/>
        <w:jc w:val="both"/>
        <w:rPr>
          <w:rFonts w:ascii="Times New Roman" w:eastAsia="Times New Roman" w:hAnsi="Times New Roman" w:cs="Times New Roman"/>
          <w:bCs/>
          <w:iCs/>
          <w:sz w:val="24"/>
          <w:szCs w:val="24"/>
        </w:rPr>
      </w:pPr>
    </w:p>
    <w:p w14:paraId="5212A889" w14:textId="302D699B" w:rsidR="00133893" w:rsidRPr="0099292E" w:rsidRDefault="00C50ECD" w:rsidP="00542793">
      <w:pPr>
        <w:numPr>
          <w:ilvl w:val="0"/>
          <w:numId w:val="1"/>
        </w:numPr>
        <w:pBdr>
          <w:top w:val="nil"/>
          <w:left w:val="nil"/>
          <w:bottom w:val="nil"/>
          <w:right w:val="nil"/>
          <w:between w:val="nil"/>
        </w:pBdr>
        <w:spacing w:after="0"/>
        <w:ind w:left="426" w:hanging="426"/>
        <w:contextualSpacing/>
        <w:jc w:val="both"/>
        <w:rPr>
          <w:rFonts w:ascii="Times New Roman" w:eastAsia="Times New Roman" w:hAnsi="Times New Roman" w:cs="Times New Roman"/>
          <w:b/>
          <w:color w:val="000000"/>
          <w:sz w:val="24"/>
          <w:szCs w:val="24"/>
        </w:rPr>
      </w:pPr>
      <w:r w:rsidRPr="0099292E">
        <w:rPr>
          <w:rFonts w:ascii="Times New Roman" w:eastAsia="Times New Roman" w:hAnsi="Times New Roman" w:cs="Times New Roman"/>
          <w:b/>
          <w:color w:val="000000"/>
          <w:sz w:val="24"/>
          <w:szCs w:val="24"/>
        </w:rPr>
        <w:t>Conclusions, Implications</w:t>
      </w:r>
      <w:r w:rsidR="00AE77DA">
        <w:rPr>
          <w:rFonts w:ascii="Times New Roman" w:eastAsia="Times New Roman" w:hAnsi="Times New Roman" w:cs="Times New Roman"/>
          <w:b/>
          <w:color w:val="000000"/>
          <w:sz w:val="24"/>
          <w:szCs w:val="24"/>
        </w:rPr>
        <w:t>,</w:t>
      </w:r>
      <w:r w:rsidRPr="0099292E">
        <w:rPr>
          <w:rFonts w:ascii="Times New Roman" w:eastAsia="Times New Roman" w:hAnsi="Times New Roman" w:cs="Times New Roman"/>
          <w:b/>
          <w:color w:val="000000"/>
          <w:sz w:val="24"/>
          <w:szCs w:val="24"/>
        </w:rPr>
        <w:t xml:space="preserve"> and Limitations</w:t>
      </w:r>
    </w:p>
    <w:p w14:paraId="02A0D51B" w14:textId="1F710912" w:rsidR="005948B9" w:rsidRPr="0099292E" w:rsidRDefault="005948B9" w:rsidP="005948B9">
      <w:pPr>
        <w:spacing w:after="0"/>
        <w:ind w:firstLine="426"/>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 xml:space="preserve">This systematic literature review of 66 articles reveals that research on ESG and tax avoidance in Indonesia is dominated by the Governance pillar, primarily measured through institutional ownership, audit committees, and independent commissioners, with Agency Theory as the prevailing framework. The Social pillar, </w:t>
      </w:r>
      <w:r w:rsidR="00610DBA" w:rsidRPr="0099292E">
        <w:rPr>
          <w:rFonts w:ascii="Times New Roman" w:eastAsia="Times New Roman" w:hAnsi="Times New Roman" w:cs="Times New Roman"/>
          <w:sz w:val="24"/>
          <w:szCs w:val="24"/>
        </w:rPr>
        <w:t>largely</w:t>
      </w:r>
      <w:r w:rsidRPr="0099292E">
        <w:rPr>
          <w:rFonts w:ascii="Times New Roman" w:eastAsia="Times New Roman" w:hAnsi="Times New Roman" w:cs="Times New Roman"/>
          <w:sz w:val="24"/>
          <w:szCs w:val="24"/>
        </w:rPr>
        <w:t xml:space="preserve"> proxied by CSR, </w:t>
      </w:r>
      <w:r w:rsidR="00610DBA" w:rsidRPr="0099292E">
        <w:rPr>
          <w:rFonts w:ascii="Times New Roman" w:eastAsia="Times New Roman" w:hAnsi="Times New Roman" w:cs="Times New Roman"/>
          <w:sz w:val="24"/>
          <w:szCs w:val="24"/>
        </w:rPr>
        <w:t>yields</w:t>
      </w:r>
      <w:r w:rsidRPr="0099292E">
        <w:rPr>
          <w:rFonts w:ascii="Times New Roman" w:eastAsia="Times New Roman" w:hAnsi="Times New Roman" w:cs="Times New Roman"/>
          <w:sz w:val="24"/>
          <w:szCs w:val="24"/>
        </w:rPr>
        <w:t xml:space="preserve"> mixed results, while the Environmental pillar remains underexplored. Research also relies heavily on the Effective Tax Rate (ETR) and focuses mainly on the manufacturing sector.</w:t>
      </w:r>
    </w:p>
    <w:p w14:paraId="6F1C0FB9" w14:textId="146F801E" w:rsidR="005948B9" w:rsidRPr="0099292E" w:rsidRDefault="00610DBA" w:rsidP="005948B9">
      <w:pPr>
        <w:spacing w:after="0"/>
        <w:ind w:firstLine="426"/>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The main implication of this study lies in mapping research trends and highlighting that</w:t>
      </w:r>
      <w:r w:rsidR="00374F9D">
        <w:rPr>
          <w:rFonts w:ascii="Times New Roman" w:eastAsia="Times New Roman" w:hAnsi="Times New Roman" w:cs="Times New Roman"/>
          <w:sz w:val="24"/>
          <w:szCs w:val="24"/>
        </w:rPr>
        <w:t xml:space="preserve"> </w:t>
      </w:r>
      <w:r w:rsidR="00CF2ACB">
        <w:rPr>
          <w:rFonts w:ascii="Times New Roman" w:eastAsia="Times New Roman" w:hAnsi="Times New Roman" w:cs="Times New Roman"/>
          <w:sz w:val="24"/>
          <w:szCs w:val="24"/>
        </w:rPr>
        <w:t>the</w:t>
      </w:r>
      <w:r w:rsidR="00374F9D">
        <w:rPr>
          <w:rFonts w:ascii="Times New Roman" w:eastAsia="Times New Roman" w:hAnsi="Times New Roman" w:cs="Times New Roman"/>
          <w:sz w:val="24"/>
          <w:szCs w:val="24"/>
        </w:rPr>
        <w:t xml:space="preserve"> </w:t>
      </w:r>
      <w:r w:rsidRPr="0099292E">
        <w:rPr>
          <w:rFonts w:ascii="Times New Roman" w:eastAsia="Times New Roman" w:hAnsi="Times New Roman" w:cs="Times New Roman"/>
          <w:sz w:val="24"/>
          <w:szCs w:val="24"/>
        </w:rPr>
        <w:t>current understanding of the ESG–tax avoidance nexus remains limited</w:t>
      </w:r>
      <w:r w:rsidR="005948B9" w:rsidRPr="0099292E">
        <w:rPr>
          <w:rFonts w:ascii="Times New Roman" w:eastAsia="Times New Roman" w:hAnsi="Times New Roman" w:cs="Times New Roman"/>
          <w:sz w:val="24"/>
          <w:szCs w:val="24"/>
        </w:rPr>
        <w:t xml:space="preserve">. Theoretically, the review extends the application of Agency, Legitimacy, and Stakeholder </w:t>
      </w:r>
      <w:r w:rsidR="005948B9" w:rsidRPr="0099292E">
        <w:rPr>
          <w:rFonts w:ascii="Times New Roman" w:eastAsia="Times New Roman" w:hAnsi="Times New Roman" w:cs="Times New Roman"/>
          <w:sz w:val="24"/>
          <w:szCs w:val="24"/>
        </w:rPr>
        <w:lastRenderedPageBreak/>
        <w:t xml:space="preserve">theories to explain ESG and tax avoidance dynamics. Practically, it provides insights for companies to align ESG implementation with transparent tax strategies </w:t>
      </w:r>
      <w:r w:rsidR="009A08C3" w:rsidRPr="0099292E">
        <w:rPr>
          <w:rFonts w:ascii="Times New Roman" w:eastAsia="Times New Roman" w:hAnsi="Times New Roman" w:cs="Times New Roman"/>
          <w:sz w:val="24"/>
          <w:szCs w:val="24"/>
        </w:rPr>
        <w:t>to</w:t>
      </w:r>
      <w:r w:rsidR="005948B9" w:rsidRPr="0099292E">
        <w:rPr>
          <w:rFonts w:ascii="Times New Roman" w:eastAsia="Times New Roman" w:hAnsi="Times New Roman" w:cs="Times New Roman"/>
          <w:sz w:val="24"/>
          <w:szCs w:val="24"/>
        </w:rPr>
        <w:t xml:space="preserve"> safeguard corporate reputation and sustainability. From a policy perspective, the findings offer guidance for tax authorities in designing regulations and incentives that integrate ESG principles into tax compliance frameworks.</w:t>
      </w:r>
    </w:p>
    <w:p w14:paraId="190A37A0" w14:textId="1FF6A810" w:rsidR="00C50ECD" w:rsidRPr="0099292E" w:rsidRDefault="00610DBA" w:rsidP="005948B9">
      <w:pPr>
        <w:spacing w:after="0"/>
        <w:ind w:firstLine="426"/>
        <w:jc w:val="both"/>
        <w:rPr>
          <w:rFonts w:ascii="Times New Roman" w:eastAsia="Times New Roman" w:hAnsi="Times New Roman" w:cs="Times New Roman"/>
          <w:sz w:val="24"/>
          <w:szCs w:val="24"/>
        </w:rPr>
      </w:pPr>
      <w:r w:rsidRPr="0099292E">
        <w:rPr>
          <w:rFonts w:ascii="Times New Roman" w:eastAsia="Times New Roman" w:hAnsi="Times New Roman" w:cs="Times New Roman"/>
          <w:sz w:val="24"/>
          <w:szCs w:val="24"/>
        </w:rPr>
        <w:t>This study has several limitations, including its restricted scope (limited to Sinta-1 and Sinta-2 journals), the time frame (2015–2025)</w:t>
      </w:r>
      <w:r w:rsidR="00CF2ACB">
        <w:rPr>
          <w:rFonts w:ascii="Times New Roman" w:eastAsia="Times New Roman" w:hAnsi="Times New Roman" w:cs="Times New Roman"/>
          <w:sz w:val="24"/>
          <w:szCs w:val="24"/>
        </w:rPr>
        <w:t>,</w:t>
      </w:r>
      <w:r w:rsidRPr="0099292E">
        <w:rPr>
          <w:rFonts w:ascii="Times New Roman" w:eastAsia="Times New Roman" w:hAnsi="Times New Roman" w:cs="Times New Roman"/>
          <w:sz w:val="24"/>
          <w:szCs w:val="24"/>
        </w:rPr>
        <w:t xml:space="preserve"> which excludes earlier historical contexts, the predominance of quantitative approaches using secondary data, and the concentration on the manufacturing sector</w:t>
      </w:r>
      <w:r w:rsidR="005948B9" w:rsidRPr="0099292E">
        <w:rPr>
          <w:rFonts w:ascii="Times New Roman" w:eastAsia="Times New Roman" w:hAnsi="Times New Roman" w:cs="Times New Roman"/>
          <w:sz w:val="24"/>
          <w:szCs w:val="24"/>
        </w:rPr>
        <w:t>. To address these limitations, future research should broaden the exploration of Social and Environmental pillars using more diverse indicators, expand the scope beyond manufacturing to other industries, employ qualitative or mixed-method approaches, and adopt theoretical perspectives beyond Agency Theory. Moreover, the moderating or mediating role of sustainability-related tax regulations and institutional contexts should also be investigated to capture the complexity of the ESG–tax avoidance nexus.</w:t>
      </w:r>
    </w:p>
    <w:p w14:paraId="2DAF2083" w14:textId="77777777" w:rsidR="005948B9" w:rsidRPr="0099292E" w:rsidRDefault="005948B9" w:rsidP="005948B9">
      <w:pPr>
        <w:spacing w:after="0"/>
        <w:ind w:firstLine="426"/>
        <w:jc w:val="both"/>
        <w:rPr>
          <w:rFonts w:ascii="Times New Roman" w:eastAsia="Times New Roman" w:hAnsi="Times New Roman" w:cs="Times New Roman"/>
          <w:sz w:val="24"/>
          <w:szCs w:val="24"/>
        </w:rPr>
      </w:pPr>
    </w:p>
    <w:p w14:paraId="2A853E74" w14:textId="54B9A6B4" w:rsidR="00B46924" w:rsidRDefault="00B46924" w:rsidP="003D7685">
      <w:pPr>
        <w:contextualSpacing/>
        <w:jc w:val="both"/>
        <w:rPr>
          <w:rFonts w:ascii="Times New Roman" w:eastAsia="Times New Roman" w:hAnsi="Times New Roman" w:cs="Times New Roman"/>
          <w:b/>
          <w:bCs/>
          <w:color w:val="000000" w:themeColor="text1"/>
          <w:sz w:val="24"/>
          <w:szCs w:val="24"/>
          <w:lang w:val="id-ID"/>
          <w14:textOutline w14:w="0" w14:cap="flat" w14:cmpd="sng" w14:algn="ctr">
            <w14:noFill/>
            <w14:prstDash w14:val="solid"/>
            <w14:round/>
          </w14:textOutline>
        </w:rPr>
      </w:pPr>
      <w:r w:rsidRPr="00B46924">
        <w:rPr>
          <w:rFonts w:ascii="Times New Roman" w:eastAsia="Times New Roman" w:hAnsi="Times New Roman" w:cs="Times New Roman"/>
          <w:b/>
          <w:bCs/>
          <w:color w:val="000000" w:themeColor="text1"/>
          <w:sz w:val="24"/>
          <w:szCs w:val="24"/>
          <w14:textOutline w14:w="0" w14:cap="flat" w14:cmpd="sng" w14:algn="ctr">
            <w14:noFill/>
            <w14:prstDash w14:val="solid"/>
            <w14:round/>
          </w14:textOutline>
        </w:rPr>
        <w:t>References</w:t>
      </w:r>
    </w:p>
    <w:p w14:paraId="6ED4FEAD" w14:textId="77777777" w:rsidR="003D7685" w:rsidRPr="003D7685" w:rsidRDefault="003D7685" w:rsidP="003D7685">
      <w:pPr>
        <w:contextualSpacing/>
        <w:jc w:val="both"/>
        <w:rPr>
          <w:rFonts w:ascii="Times New Roman" w:eastAsia="Times New Roman" w:hAnsi="Times New Roman" w:cs="Times New Roman"/>
          <w:b/>
          <w:bCs/>
          <w:color w:val="000000" w:themeColor="text1"/>
          <w:sz w:val="24"/>
          <w:szCs w:val="24"/>
          <w:lang w:val="id-ID"/>
          <w14:textOutline w14:w="0" w14:cap="flat" w14:cmpd="sng" w14:algn="ctr">
            <w14:noFill/>
            <w14:prstDash w14:val="solid"/>
            <w14:round/>
          </w14:textOutline>
        </w:rPr>
      </w:pPr>
    </w:p>
    <w:p w14:paraId="07CE95C3" w14:textId="508B8B27" w:rsidR="00301863" w:rsidRPr="0099292E" w:rsidRDefault="00253714" w:rsidP="003D7685">
      <w:pPr>
        <w:widowControl w:val="0"/>
        <w:autoSpaceDE w:val="0"/>
        <w:autoSpaceDN w:val="0"/>
        <w:adjustRightInd w:val="0"/>
        <w:ind w:left="482" w:hanging="482"/>
        <w:jc w:val="both"/>
        <w:rPr>
          <w:rFonts w:ascii="Times New Roman" w:hAnsi="Times New Roman" w:cs="Times New Roman"/>
          <w:noProof/>
          <w:sz w:val="24"/>
        </w:rPr>
      </w:pPr>
      <w:r w:rsidRPr="0099292E">
        <w:rPr>
          <w:rFonts w:ascii="Times New Roman" w:eastAsia="Times New Roman" w:hAnsi="Times New Roman" w:cs="Times New Roman"/>
          <w:b/>
          <w:sz w:val="24"/>
          <w:szCs w:val="24"/>
        </w:rPr>
        <w:fldChar w:fldCharType="begin" w:fldLock="1"/>
      </w:r>
      <w:r w:rsidRPr="0099292E">
        <w:rPr>
          <w:rFonts w:ascii="Times New Roman" w:eastAsia="Times New Roman" w:hAnsi="Times New Roman" w:cs="Times New Roman"/>
          <w:b/>
          <w:sz w:val="24"/>
          <w:szCs w:val="24"/>
        </w:rPr>
        <w:instrText xml:space="preserve">ADDIN Mendeley Bibliography CSL_BIBLIOGRAPHY </w:instrText>
      </w:r>
      <w:r w:rsidRPr="0099292E">
        <w:rPr>
          <w:rFonts w:ascii="Times New Roman" w:eastAsia="Times New Roman" w:hAnsi="Times New Roman" w:cs="Times New Roman"/>
          <w:b/>
          <w:sz w:val="24"/>
          <w:szCs w:val="24"/>
        </w:rPr>
        <w:fldChar w:fldCharType="separate"/>
      </w:r>
      <w:bookmarkStart w:id="0" w:name="Arifin"/>
      <w:r w:rsidR="00301863" w:rsidRPr="0099292E">
        <w:rPr>
          <w:rFonts w:ascii="Times New Roman" w:hAnsi="Times New Roman" w:cs="Times New Roman"/>
          <w:noProof/>
          <w:sz w:val="24"/>
        </w:rPr>
        <w:t>Arifin</w:t>
      </w:r>
      <w:bookmarkEnd w:id="0"/>
      <w:r w:rsidR="00301863" w:rsidRPr="0099292E">
        <w:rPr>
          <w:rFonts w:ascii="Times New Roman" w:hAnsi="Times New Roman" w:cs="Times New Roman"/>
          <w:noProof/>
          <w:sz w:val="24"/>
        </w:rPr>
        <w:t>, Y. N., Nurrahmawati, A., &amp; Per</w:t>
      </w:r>
      <w:r w:rsidR="008B38F8">
        <w:rPr>
          <w:rFonts w:ascii="Times New Roman" w:hAnsi="Times New Roman" w:cs="Times New Roman"/>
          <w:noProof/>
          <w:sz w:val="24"/>
        </w:rPr>
        <w:t xml:space="preserve">witasari, D. (2023). Does </w:t>
      </w:r>
      <w:r w:rsidR="008B38F8">
        <w:rPr>
          <w:rFonts w:ascii="Times New Roman" w:hAnsi="Times New Roman" w:cs="Times New Roman"/>
          <w:noProof/>
          <w:sz w:val="24"/>
          <w:lang w:val="id-ID"/>
        </w:rPr>
        <w:t>o</w:t>
      </w:r>
      <w:r w:rsidR="008B38F8">
        <w:rPr>
          <w:rFonts w:ascii="Times New Roman" w:hAnsi="Times New Roman" w:cs="Times New Roman"/>
          <w:noProof/>
          <w:sz w:val="24"/>
        </w:rPr>
        <w:t xml:space="preserve">wnership </w:t>
      </w:r>
      <w:r w:rsidR="008B38F8">
        <w:rPr>
          <w:rFonts w:ascii="Times New Roman" w:hAnsi="Times New Roman" w:cs="Times New Roman"/>
          <w:noProof/>
          <w:sz w:val="24"/>
          <w:lang w:val="id-ID"/>
        </w:rPr>
        <w:t>s</w:t>
      </w:r>
      <w:r w:rsidR="008B38F8">
        <w:rPr>
          <w:rFonts w:ascii="Times New Roman" w:hAnsi="Times New Roman" w:cs="Times New Roman"/>
          <w:noProof/>
          <w:sz w:val="24"/>
        </w:rPr>
        <w:t xml:space="preserve">tructure </w:t>
      </w:r>
      <w:r w:rsidR="008B38F8">
        <w:rPr>
          <w:rFonts w:ascii="Times New Roman" w:hAnsi="Times New Roman" w:cs="Times New Roman"/>
          <w:noProof/>
          <w:sz w:val="24"/>
          <w:lang w:val="id-ID"/>
        </w:rPr>
        <w:t>a</w:t>
      </w:r>
      <w:r w:rsidR="008B38F8">
        <w:rPr>
          <w:rFonts w:ascii="Times New Roman" w:hAnsi="Times New Roman" w:cs="Times New Roman"/>
          <w:noProof/>
          <w:sz w:val="24"/>
        </w:rPr>
        <w:t xml:space="preserve">ffect </w:t>
      </w:r>
      <w:r w:rsidR="008B38F8">
        <w:rPr>
          <w:rFonts w:ascii="Times New Roman" w:hAnsi="Times New Roman" w:cs="Times New Roman"/>
          <w:noProof/>
          <w:sz w:val="24"/>
          <w:lang w:val="id-ID"/>
        </w:rPr>
        <w:t>t</w:t>
      </w:r>
      <w:r w:rsidR="008B38F8">
        <w:rPr>
          <w:rFonts w:ascii="Times New Roman" w:hAnsi="Times New Roman" w:cs="Times New Roman"/>
          <w:noProof/>
          <w:sz w:val="24"/>
        </w:rPr>
        <w:t xml:space="preserve">ax </w:t>
      </w:r>
      <w:r w:rsidR="008B38F8">
        <w:rPr>
          <w:rFonts w:ascii="Times New Roman" w:hAnsi="Times New Roman" w:cs="Times New Roman"/>
          <w:noProof/>
          <w:sz w:val="24"/>
          <w:lang w:val="id-ID"/>
        </w:rPr>
        <w:t>a</w:t>
      </w:r>
      <w:r w:rsidR="00301863" w:rsidRPr="0099292E">
        <w:rPr>
          <w:rFonts w:ascii="Times New Roman" w:hAnsi="Times New Roman" w:cs="Times New Roman"/>
          <w:noProof/>
          <w:sz w:val="24"/>
        </w:rPr>
        <w:t xml:space="preserve">voidance? </w:t>
      </w:r>
      <w:r w:rsidR="00301863" w:rsidRPr="0099292E">
        <w:rPr>
          <w:rFonts w:ascii="Times New Roman" w:hAnsi="Times New Roman" w:cs="Times New Roman"/>
          <w:i/>
          <w:iCs/>
          <w:noProof/>
          <w:sz w:val="24"/>
        </w:rPr>
        <w:t>Jurnal Akuntansi Dan Bisnis</w:t>
      </w:r>
      <w:r w:rsidR="00301863" w:rsidRPr="0099292E">
        <w:rPr>
          <w:rFonts w:ascii="Times New Roman" w:hAnsi="Times New Roman" w:cs="Times New Roman"/>
          <w:noProof/>
          <w:sz w:val="24"/>
        </w:rPr>
        <w:t xml:space="preserve">, </w:t>
      </w:r>
      <w:r w:rsidR="00301863" w:rsidRPr="0099292E">
        <w:rPr>
          <w:rFonts w:ascii="Times New Roman" w:hAnsi="Times New Roman" w:cs="Times New Roman"/>
          <w:i/>
          <w:iCs/>
          <w:noProof/>
          <w:sz w:val="24"/>
        </w:rPr>
        <w:t>23</w:t>
      </w:r>
      <w:r w:rsidR="00301863" w:rsidRPr="0099292E">
        <w:rPr>
          <w:rFonts w:ascii="Times New Roman" w:hAnsi="Times New Roman" w:cs="Times New Roman"/>
          <w:noProof/>
          <w:sz w:val="24"/>
        </w:rPr>
        <w:t>(1), 44. https://doi.org/10.20961/jab.v23i1.1005</w:t>
      </w:r>
    </w:p>
    <w:p w14:paraId="1B5410FD"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 w:name="Armstrong"/>
      <w:r w:rsidRPr="0099292E">
        <w:rPr>
          <w:rFonts w:ascii="Times New Roman" w:hAnsi="Times New Roman" w:cs="Times New Roman"/>
          <w:noProof/>
          <w:sz w:val="24"/>
        </w:rPr>
        <w:t>Armstrong</w:t>
      </w:r>
      <w:bookmarkEnd w:id="1"/>
      <w:r w:rsidRPr="0099292E">
        <w:rPr>
          <w:rFonts w:ascii="Times New Roman" w:hAnsi="Times New Roman" w:cs="Times New Roman"/>
          <w:noProof/>
          <w:sz w:val="24"/>
        </w:rPr>
        <w:t xml:space="preserve">, C. S., Blouin, J. L., Jagolinzer, A. D., &amp; Larcker, D. F. (2015). Corporate governance, incentives, and tax avoidance. </w:t>
      </w:r>
      <w:r w:rsidRPr="0099292E">
        <w:rPr>
          <w:rFonts w:ascii="Times New Roman" w:hAnsi="Times New Roman" w:cs="Times New Roman"/>
          <w:i/>
          <w:iCs/>
          <w:noProof/>
          <w:sz w:val="24"/>
        </w:rPr>
        <w:t>Journal of Accounting and Economics</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60</w:t>
      </w:r>
      <w:r w:rsidRPr="0099292E">
        <w:rPr>
          <w:rFonts w:ascii="Times New Roman" w:hAnsi="Times New Roman" w:cs="Times New Roman"/>
          <w:noProof/>
          <w:sz w:val="24"/>
        </w:rPr>
        <w:t>(1), 1–17. https://doi.org/10.1016/j.jacceco.2015.02.003</w:t>
      </w:r>
    </w:p>
    <w:p w14:paraId="031C87C4"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 w:name="Baatwah"/>
      <w:r w:rsidRPr="0099292E">
        <w:rPr>
          <w:rFonts w:ascii="Times New Roman" w:hAnsi="Times New Roman" w:cs="Times New Roman"/>
          <w:noProof/>
          <w:sz w:val="24"/>
        </w:rPr>
        <w:t>Baatwah</w:t>
      </w:r>
      <w:bookmarkEnd w:id="2"/>
      <w:r w:rsidRPr="0099292E">
        <w:rPr>
          <w:rFonts w:ascii="Times New Roman" w:hAnsi="Times New Roman" w:cs="Times New Roman"/>
          <w:noProof/>
          <w:sz w:val="24"/>
        </w:rPr>
        <w:t xml:space="preserve">, S. R., Mgammal, M. H., &amp; Aomrah, M. R. (2025). Does audit committee chair expertise combat tax avoidance in emerging markets? Direct and indirect investigation. </w:t>
      </w:r>
      <w:r w:rsidRPr="0099292E">
        <w:rPr>
          <w:rFonts w:ascii="Times New Roman" w:hAnsi="Times New Roman" w:cs="Times New Roman"/>
          <w:i/>
          <w:iCs/>
          <w:noProof/>
          <w:sz w:val="24"/>
        </w:rPr>
        <w:t>International Journal of Accounting and Information Management</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33</w:t>
      </w:r>
      <w:r w:rsidRPr="0099292E">
        <w:rPr>
          <w:rFonts w:ascii="Times New Roman" w:hAnsi="Times New Roman" w:cs="Times New Roman"/>
          <w:noProof/>
          <w:sz w:val="24"/>
        </w:rPr>
        <w:t>(4), 716–740. https://doi.org/10.1108/IJAIM-09-2024-0342</w:t>
      </w:r>
    </w:p>
    <w:p w14:paraId="7891131C" w14:textId="7641C116"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 w:name="Baldini"/>
      <w:r w:rsidRPr="0099292E">
        <w:rPr>
          <w:rFonts w:ascii="Times New Roman" w:hAnsi="Times New Roman" w:cs="Times New Roman"/>
          <w:noProof/>
          <w:sz w:val="24"/>
        </w:rPr>
        <w:t>Baldini</w:t>
      </w:r>
      <w:bookmarkEnd w:id="3"/>
      <w:r w:rsidRPr="0099292E">
        <w:rPr>
          <w:rFonts w:ascii="Times New Roman" w:hAnsi="Times New Roman" w:cs="Times New Roman"/>
          <w:noProof/>
          <w:sz w:val="24"/>
        </w:rPr>
        <w:t>, M., Maso, L. D., Liberatore, G., Mazzi, F.,</w:t>
      </w:r>
      <w:r w:rsidR="008B38F8">
        <w:rPr>
          <w:rFonts w:ascii="Times New Roman" w:hAnsi="Times New Roman" w:cs="Times New Roman"/>
          <w:noProof/>
          <w:sz w:val="24"/>
        </w:rPr>
        <w:t xml:space="preserve"> &amp; Terzani, S. (2018). Role of </w:t>
      </w:r>
      <w:r w:rsidR="008B38F8">
        <w:rPr>
          <w:rFonts w:ascii="Times New Roman" w:hAnsi="Times New Roman" w:cs="Times New Roman"/>
          <w:noProof/>
          <w:sz w:val="24"/>
          <w:lang w:val="id-ID"/>
        </w:rPr>
        <w:t>c</w:t>
      </w:r>
      <w:r w:rsidR="008B38F8">
        <w:rPr>
          <w:rFonts w:ascii="Times New Roman" w:hAnsi="Times New Roman" w:cs="Times New Roman"/>
          <w:noProof/>
          <w:sz w:val="24"/>
        </w:rPr>
        <w:t xml:space="preserve">ountry- and </w:t>
      </w:r>
      <w:r w:rsidR="008B38F8">
        <w:rPr>
          <w:rFonts w:ascii="Times New Roman" w:hAnsi="Times New Roman" w:cs="Times New Roman"/>
          <w:noProof/>
          <w:sz w:val="24"/>
          <w:lang w:val="id-ID"/>
        </w:rPr>
        <w:t>f</w:t>
      </w:r>
      <w:r w:rsidRPr="0099292E">
        <w:rPr>
          <w:rFonts w:ascii="Times New Roman" w:hAnsi="Times New Roman" w:cs="Times New Roman"/>
          <w:noProof/>
          <w:sz w:val="24"/>
        </w:rPr>
        <w:t>irm-</w:t>
      </w:r>
      <w:r w:rsidR="008B38F8">
        <w:rPr>
          <w:rFonts w:ascii="Times New Roman" w:hAnsi="Times New Roman" w:cs="Times New Roman"/>
          <w:noProof/>
          <w:sz w:val="24"/>
          <w:lang w:val="id-ID"/>
        </w:rPr>
        <w:t>l</w:t>
      </w:r>
      <w:r w:rsidR="008B38F8">
        <w:rPr>
          <w:rFonts w:ascii="Times New Roman" w:hAnsi="Times New Roman" w:cs="Times New Roman"/>
          <w:noProof/>
          <w:sz w:val="24"/>
        </w:rPr>
        <w:t xml:space="preserve">evel </w:t>
      </w:r>
      <w:r w:rsidR="008B38F8">
        <w:rPr>
          <w:rFonts w:ascii="Times New Roman" w:hAnsi="Times New Roman" w:cs="Times New Roman"/>
          <w:noProof/>
          <w:sz w:val="24"/>
          <w:lang w:val="id-ID"/>
        </w:rPr>
        <w:t>d</w:t>
      </w:r>
      <w:r w:rsidR="008B38F8">
        <w:rPr>
          <w:rFonts w:ascii="Times New Roman" w:hAnsi="Times New Roman" w:cs="Times New Roman"/>
          <w:noProof/>
          <w:sz w:val="24"/>
        </w:rPr>
        <w:t xml:space="preserve">eterminants in </w:t>
      </w:r>
      <w:r w:rsidR="008B38F8">
        <w:rPr>
          <w:rFonts w:ascii="Times New Roman" w:hAnsi="Times New Roman" w:cs="Times New Roman"/>
          <w:noProof/>
          <w:sz w:val="24"/>
          <w:lang w:val="id-ID"/>
        </w:rPr>
        <w:t>e</w:t>
      </w:r>
      <w:r w:rsidR="008B38F8">
        <w:rPr>
          <w:rFonts w:ascii="Times New Roman" w:hAnsi="Times New Roman" w:cs="Times New Roman"/>
          <w:noProof/>
          <w:sz w:val="24"/>
        </w:rPr>
        <w:t xml:space="preserve">nvironmental, </w:t>
      </w:r>
      <w:r w:rsidR="008B38F8">
        <w:rPr>
          <w:rFonts w:ascii="Times New Roman" w:hAnsi="Times New Roman" w:cs="Times New Roman"/>
          <w:noProof/>
          <w:sz w:val="24"/>
          <w:lang w:val="id-ID"/>
        </w:rPr>
        <w:t>s</w:t>
      </w:r>
      <w:r w:rsidR="008B38F8">
        <w:rPr>
          <w:rFonts w:ascii="Times New Roman" w:hAnsi="Times New Roman" w:cs="Times New Roman"/>
          <w:noProof/>
          <w:sz w:val="24"/>
        </w:rPr>
        <w:t xml:space="preserve">ocial, and </w:t>
      </w:r>
      <w:r w:rsidR="008B38F8">
        <w:rPr>
          <w:rFonts w:ascii="Times New Roman" w:hAnsi="Times New Roman" w:cs="Times New Roman"/>
          <w:noProof/>
          <w:sz w:val="24"/>
          <w:lang w:val="id-ID"/>
        </w:rPr>
        <w:t>g</w:t>
      </w:r>
      <w:r w:rsidR="008B38F8">
        <w:rPr>
          <w:rFonts w:ascii="Times New Roman" w:hAnsi="Times New Roman" w:cs="Times New Roman"/>
          <w:noProof/>
          <w:sz w:val="24"/>
        </w:rPr>
        <w:t xml:space="preserve">overnance </w:t>
      </w:r>
      <w:r w:rsidR="008B38F8">
        <w:rPr>
          <w:rFonts w:ascii="Times New Roman" w:hAnsi="Times New Roman" w:cs="Times New Roman"/>
          <w:noProof/>
          <w:sz w:val="24"/>
          <w:lang w:val="id-ID"/>
        </w:rPr>
        <w:t>d</w:t>
      </w:r>
      <w:r w:rsidRPr="0099292E">
        <w:rPr>
          <w:rFonts w:ascii="Times New Roman" w:hAnsi="Times New Roman" w:cs="Times New Roman"/>
          <w:noProof/>
          <w:sz w:val="24"/>
        </w:rPr>
        <w:t xml:space="preserve">isclosure. </w:t>
      </w:r>
      <w:r w:rsidRPr="0099292E">
        <w:rPr>
          <w:rFonts w:ascii="Times New Roman" w:hAnsi="Times New Roman" w:cs="Times New Roman"/>
          <w:i/>
          <w:iCs/>
          <w:noProof/>
          <w:sz w:val="24"/>
        </w:rPr>
        <w:t>Journal of Business Ethics</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150</w:t>
      </w:r>
      <w:r w:rsidR="00570799">
        <w:rPr>
          <w:rFonts w:ascii="Times New Roman" w:hAnsi="Times New Roman" w:cs="Times New Roman"/>
          <w:noProof/>
          <w:sz w:val="24"/>
        </w:rPr>
        <w:t>(1), 79–98.</w:t>
      </w:r>
      <w:r w:rsidRPr="0099292E">
        <w:rPr>
          <w:rFonts w:ascii="Times New Roman" w:hAnsi="Times New Roman" w:cs="Times New Roman"/>
          <w:noProof/>
          <w:sz w:val="24"/>
        </w:rPr>
        <w:t>https://doi.org/10.1007/s10551-016-3139-1</w:t>
      </w:r>
    </w:p>
    <w:p w14:paraId="7097201E" w14:textId="3686A14F"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4" w:name="Bebbington"/>
      <w:r w:rsidRPr="0099292E">
        <w:rPr>
          <w:rFonts w:ascii="Times New Roman" w:hAnsi="Times New Roman" w:cs="Times New Roman"/>
          <w:noProof/>
          <w:sz w:val="24"/>
        </w:rPr>
        <w:t>Bebbington</w:t>
      </w:r>
      <w:bookmarkEnd w:id="4"/>
      <w:r w:rsidR="00570799">
        <w:rPr>
          <w:rFonts w:ascii="Times New Roman" w:hAnsi="Times New Roman" w:cs="Times New Roman"/>
          <w:noProof/>
          <w:sz w:val="24"/>
        </w:rPr>
        <w:t>, J., &amp; Unerman,</w:t>
      </w:r>
      <w:r w:rsidR="00570799">
        <w:rPr>
          <w:rFonts w:ascii="Times New Roman" w:hAnsi="Times New Roman" w:cs="Times New Roman"/>
          <w:noProof/>
          <w:sz w:val="24"/>
          <w:lang w:val="id-ID"/>
        </w:rPr>
        <w:t xml:space="preserve"> </w:t>
      </w:r>
      <w:r w:rsidR="00570799">
        <w:rPr>
          <w:rFonts w:ascii="Times New Roman" w:hAnsi="Times New Roman" w:cs="Times New Roman"/>
          <w:noProof/>
          <w:sz w:val="24"/>
        </w:rPr>
        <w:t>J.</w:t>
      </w:r>
      <w:r w:rsidR="00570799">
        <w:rPr>
          <w:rFonts w:ascii="Times New Roman" w:hAnsi="Times New Roman" w:cs="Times New Roman"/>
          <w:noProof/>
          <w:sz w:val="24"/>
          <w:lang w:val="id-ID"/>
        </w:rPr>
        <w:t xml:space="preserve"> </w:t>
      </w:r>
      <w:r w:rsidR="00570799">
        <w:rPr>
          <w:rFonts w:ascii="Times New Roman" w:hAnsi="Times New Roman" w:cs="Times New Roman"/>
          <w:noProof/>
          <w:sz w:val="24"/>
        </w:rPr>
        <w:t>(2018).</w:t>
      </w:r>
      <w:r w:rsidR="00570799">
        <w:rPr>
          <w:rFonts w:ascii="Times New Roman" w:hAnsi="Times New Roman" w:cs="Times New Roman"/>
          <w:noProof/>
          <w:sz w:val="24"/>
          <w:lang w:val="id-ID"/>
        </w:rPr>
        <w:t xml:space="preserve"> </w:t>
      </w:r>
      <w:r w:rsidRPr="0099292E">
        <w:rPr>
          <w:rFonts w:ascii="Times New Roman" w:hAnsi="Times New Roman" w:cs="Times New Roman"/>
          <w:noProof/>
          <w:sz w:val="24"/>
        </w:rPr>
        <w:t xml:space="preserve">Achieving the United Nations Sustainable Development Goals: An enabling role for accounting research. </w:t>
      </w:r>
      <w:r w:rsidRPr="0099292E">
        <w:rPr>
          <w:rFonts w:ascii="Times New Roman" w:hAnsi="Times New Roman" w:cs="Times New Roman"/>
          <w:i/>
          <w:iCs/>
          <w:noProof/>
          <w:sz w:val="24"/>
        </w:rPr>
        <w:t>Accounting, Auditing and Accountability Journal</w:t>
      </w:r>
      <w:r w:rsidR="00570799">
        <w:rPr>
          <w:rFonts w:ascii="Times New Roman" w:hAnsi="Times New Roman" w:cs="Times New Roman"/>
          <w:noProof/>
          <w:sz w:val="24"/>
        </w:rPr>
        <w:t>,</w:t>
      </w:r>
      <w:r w:rsidRPr="0099292E">
        <w:rPr>
          <w:rFonts w:ascii="Times New Roman" w:hAnsi="Times New Roman" w:cs="Times New Roman"/>
          <w:i/>
          <w:iCs/>
          <w:noProof/>
          <w:sz w:val="24"/>
        </w:rPr>
        <w:t>31</w:t>
      </w:r>
      <w:r w:rsidRPr="0099292E">
        <w:rPr>
          <w:rFonts w:ascii="Times New Roman" w:hAnsi="Times New Roman" w:cs="Times New Roman"/>
          <w:noProof/>
          <w:sz w:val="24"/>
        </w:rPr>
        <w:t>(1), 2–24. https://doi.org/10.1108/AAAJ-05-2017-2929</w:t>
      </w:r>
    </w:p>
    <w:p w14:paraId="70B814E8"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5" w:name="Blaufus"/>
      <w:r w:rsidRPr="0099292E">
        <w:rPr>
          <w:rFonts w:ascii="Times New Roman" w:hAnsi="Times New Roman" w:cs="Times New Roman"/>
          <w:noProof/>
          <w:sz w:val="24"/>
        </w:rPr>
        <w:t>Blaufus</w:t>
      </w:r>
      <w:bookmarkEnd w:id="5"/>
      <w:r w:rsidRPr="0099292E">
        <w:rPr>
          <w:rFonts w:ascii="Times New Roman" w:hAnsi="Times New Roman" w:cs="Times New Roman"/>
          <w:noProof/>
          <w:sz w:val="24"/>
        </w:rPr>
        <w:t xml:space="preserve">, K., Hundsdoerfer, J., Jacob, M., &amp; Sünwoldt, M. (2016). Does legality matter? The case of tax avoidance and evasion. </w:t>
      </w:r>
      <w:r w:rsidRPr="0099292E">
        <w:rPr>
          <w:rFonts w:ascii="Times New Roman" w:hAnsi="Times New Roman" w:cs="Times New Roman"/>
          <w:i/>
          <w:iCs/>
          <w:noProof/>
          <w:sz w:val="24"/>
        </w:rPr>
        <w:t>Journal of Economic Behavior and Organization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127</w:t>
      </w:r>
      <w:r w:rsidRPr="0099292E">
        <w:rPr>
          <w:rFonts w:ascii="Times New Roman" w:hAnsi="Times New Roman" w:cs="Times New Roman"/>
          <w:noProof/>
          <w:sz w:val="24"/>
        </w:rPr>
        <w:t>, 182–206. https://doi.org/10.1016/j.jebo.2016.04.002</w:t>
      </w:r>
    </w:p>
    <w:p w14:paraId="61070BC7" w14:textId="018B7339" w:rsidR="00301863" w:rsidRPr="0099292E" w:rsidRDefault="008B38F8" w:rsidP="003D7685">
      <w:pPr>
        <w:widowControl w:val="0"/>
        <w:autoSpaceDE w:val="0"/>
        <w:autoSpaceDN w:val="0"/>
        <w:adjustRightInd w:val="0"/>
        <w:ind w:left="482" w:hanging="482"/>
        <w:jc w:val="both"/>
        <w:rPr>
          <w:rFonts w:ascii="Times New Roman" w:hAnsi="Times New Roman" w:cs="Times New Roman"/>
          <w:noProof/>
          <w:sz w:val="24"/>
        </w:rPr>
      </w:pPr>
      <w:r>
        <w:rPr>
          <w:rFonts w:ascii="Times New Roman" w:hAnsi="Times New Roman" w:cs="Times New Roman"/>
          <w:noProof/>
          <w:sz w:val="24"/>
        </w:rPr>
        <w:t xml:space="preserve">Chen, C., &amp; Li, Y. (2025). The </w:t>
      </w:r>
      <w:r>
        <w:rPr>
          <w:rFonts w:ascii="Times New Roman" w:hAnsi="Times New Roman" w:cs="Times New Roman"/>
          <w:noProof/>
          <w:sz w:val="24"/>
          <w:lang w:val="id-ID"/>
        </w:rPr>
        <w:t>i</w:t>
      </w:r>
      <w:r>
        <w:rPr>
          <w:rFonts w:ascii="Times New Roman" w:hAnsi="Times New Roman" w:cs="Times New Roman"/>
          <w:noProof/>
          <w:sz w:val="24"/>
        </w:rPr>
        <w:t xml:space="preserve">mpact of </w:t>
      </w:r>
      <w:r>
        <w:rPr>
          <w:rFonts w:ascii="Times New Roman" w:hAnsi="Times New Roman" w:cs="Times New Roman"/>
          <w:noProof/>
          <w:sz w:val="24"/>
          <w:lang w:val="id-ID"/>
        </w:rPr>
        <w:t>i</w:t>
      </w:r>
      <w:r>
        <w:rPr>
          <w:rFonts w:ascii="Times New Roman" w:hAnsi="Times New Roman" w:cs="Times New Roman"/>
          <w:noProof/>
          <w:sz w:val="24"/>
        </w:rPr>
        <w:t xml:space="preserve">nstitutional </w:t>
      </w:r>
      <w:r>
        <w:rPr>
          <w:rFonts w:ascii="Times New Roman" w:hAnsi="Times New Roman" w:cs="Times New Roman"/>
          <w:noProof/>
          <w:sz w:val="24"/>
          <w:lang w:val="id-ID"/>
        </w:rPr>
        <w:t>o</w:t>
      </w:r>
      <w:r>
        <w:rPr>
          <w:rFonts w:ascii="Times New Roman" w:hAnsi="Times New Roman" w:cs="Times New Roman"/>
          <w:noProof/>
          <w:sz w:val="24"/>
        </w:rPr>
        <w:t xml:space="preserve">wnership on </w:t>
      </w:r>
      <w:r>
        <w:rPr>
          <w:rFonts w:ascii="Times New Roman" w:hAnsi="Times New Roman" w:cs="Times New Roman"/>
          <w:noProof/>
          <w:sz w:val="24"/>
          <w:lang w:val="id-ID"/>
        </w:rPr>
        <w:t>c</w:t>
      </w:r>
      <w:r>
        <w:rPr>
          <w:rFonts w:ascii="Times New Roman" w:hAnsi="Times New Roman" w:cs="Times New Roman"/>
          <w:noProof/>
          <w:sz w:val="24"/>
        </w:rPr>
        <w:t xml:space="preserve">orporate </w:t>
      </w:r>
      <w:r>
        <w:rPr>
          <w:rFonts w:ascii="Times New Roman" w:hAnsi="Times New Roman" w:cs="Times New Roman"/>
          <w:noProof/>
          <w:sz w:val="24"/>
          <w:lang w:val="id-ID"/>
        </w:rPr>
        <w:t>t</w:t>
      </w:r>
      <w:r>
        <w:rPr>
          <w:rFonts w:ascii="Times New Roman" w:hAnsi="Times New Roman" w:cs="Times New Roman"/>
          <w:noProof/>
          <w:sz w:val="24"/>
        </w:rPr>
        <w:t xml:space="preserve">ax </w:t>
      </w:r>
      <w:r>
        <w:rPr>
          <w:rFonts w:ascii="Times New Roman" w:hAnsi="Times New Roman" w:cs="Times New Roman"/>
          <w:noProof/>
          <w:sz w:val="24"/>
          <w:lang w:val="id-ID"/>
        </w:rPr>
        <w:t>a</w:t>
      </w:r>
      <w:r>
        <w:rPr>
          <w:rFonts w:ascii="Times New Roman" w:hAnsi="Times New Roman" w:cs="Times New Roman"/>
          <w:noProof/>
          <w:sz w:val="24"/>
        </w:rPr>
        <w:t xml:space="preserve">voidance in China: An </w:t>
      </w:r>
      <w:r>
        <w:rPr>
          <w:rFonts w:ascii="Times New Roman" w:hAnsi="Times New Roman" w:cs="Times New Roman"/>
          <w:noProof/>
          <w:sz w:val="24"/>
          <w:lang w:val="id-ID"/>
        </w:rPr>
        <w:t>e</w:t>
      </w:r>
      <w:r>
        <w:rPr>
          <w:rFonts w:ascii="Times New Roman" w:hAnsi="Times New Roman" w:cs="Times New Roman"/>
          <w:noProof/>
          <w:sz w:val="24"/>
        </w:rPr>
        <w:t xml:space="preserve">mpirical </w:t>
      </w:r>
      <w:r>
        <w:rPr>
          <w:rFonts w:ascii="Times New Roman" w:hAnsi="Times New Roman" w:cs="Times New Roman"/>
          <w:noProof/>
          <w:sz w:val="24"/>
          <w:lang w:val="id-ID"/>
        </w:rPr>
        <w:t>t</w:t>
      </w:r>
      <w:r>
        <w:rPr>
          <w:rFonts w:ascii="Times New Roman" w:hAnsi="Times New Roman" w:cs="Times New Roman"/>
          <w:noProof/>
          <w:sz w:val="24"/>
        </w:rPr>
        <w:t xml:space="preserve">est </w:t>
      </w:r>
      <w:r>
        <w:rPr>
          <w:rFonts w:ascii="Times New Roman" w:hAnsi="Times New Roman" w:cs="Times New Roman"/>
          <w:noProof/>
          <w:sz w:val="24"/>
          <w:lang w:val="id-ID"/>
        </w:rPr>
        <w:t>u</w:t>
      </w:r>
      <w:r>
        <w:rPr>
          <w:rFonts w:ascii="Times New Roman" w:hAnsi="Times New Roman" w:cs="Times New Roman"/>
          <w:noProof/>
          <w:sz w:val="24"/>
        </w:rPr>
        <w:t xml:space="preserve">sing </w:t>
      </w:r>
      <w:r>
        <w:rPr>
          <w:rFonts w:ascii="Times New Roman" w:hAnsi="Times New Roman" w:cs="Times New Roman"/>
          <w:noProof/>
          <w:sz w:val="24"/>
          <w:lang w:val="id-ID"/>
        </w:rPr>
        <w:t>q</w:t>
      </w:r>
      <w:r>
        <w:rPr>
          <w:rFonts w:ascii="Times New Roman" w:hAnsi="Times New Roman" w:cs="Times New Roman"/>
          <w:noProof/>
          <w:sz w:val="24"/>
        </w:rPr>
        <w:t xml:space="preserve">uantile </w:t>
      </w:r>
      <w:r>
        <w:rPr>
          <w:rFonts w:ascii="Times New Roman" w:hAnsi="Times New Roman" w:cs="Times New Roman"/>
          <w:noProof/>
          <w:sz w:val="24"/>
          <w:lang w:val="id-ID"/>
        </w:rPr>
        <w:t>r</w:t>
      </w:r>
      <w:r w:rsidR="00301863" w:rsidRPr="0099292E">
        <w:rPr>
          <w:rFonts w:ascii="Times New Roman" w:hAnsi="Times New Roman" w:cs="Times New Roman"/>
          <w:noProof/>
          <w:sz w:val="24"/>
        </w:rPr>
        <w:t xml:space="preserve">egression. </w:t>
      </w:r>
      <w:r w:rsidR="00301863" w:rsidRPr="0099292E">
        <w:rPr>
          <w:rFonts w:ascii="Times New Roman" w:hAnsi="Times New Roman" w:cs="Times New Roman"/>
          <w:i/>
          <w:iCs/>
          <w:noProof/>
          <w:sz w:val="24"/>
        </w:rPr>
        <w:t>Discrete Dynamics in Nature and Society</w:t>
      </w:r>
      <w:r w:rsidR="00301863" w:rsidRPr="0099292E">
        <w:rPr>
          <w:rFonts w:ascii="Times New Roman" w:hAnsi="Times New Roman" w:cs="Times New Roman"/>
          <w:noProof/>
          <w:sz w:val="24"/>
        </w:rPr>
        <w:t xml:space="preserve">, </w:t>
      </w:r>
      <w:r w:rsidR="00301863" w:rsidRPr="0099292E">
        <w:rPr>
          <w:rFonts w:ascii="Times New Roman" w:hAnsi="Times New Roman" w:cs="Times New Roman"/>
          <w:i/>
          <w:iCs/>
          <w:noProof/>
          <w:sz w:val="24"/>
        </w:rPr>
        <w:t>2025</w:t>
      </w:r>
      <w:r w:rsidR="00301863" w:rsidRPr="0099292E">
        <w:rPr>
          <w:rFonts w:ascii="Times New Roman" w:hAnsi="Times New Roman" w:cs="Times New Roman"/>
          <w:noProof/>
          <w:sz w:val="24"/>
        </w:rPr>
        <w:t>(1). https://doi.org/10.1155/ddns/9924040</w:t>
      </w:r>
    </w:p>
    <w:p w14:paraId="665BC91A"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6" w:name="Chen"/>
      <w:r w:rsidRPr="0099292E">
        <w:rPr>
          <w:rFonts w:ascii="Times New Roman" w:hAnsi="Times New Roman" w:cs="Times New Roman"/>
          <w:noProof/>
          <w:sz w:val="24"/>
        </w:rPr>
        <w:lastRenderedPageBreak/>
        <w:t>Chen</w:t>
      </w:r>
      <w:bookmarkEnd w:id="6"/>
      <w:r w:rsidRPr="0099292E">
        <w:rPr>
          <w:rFonts w:ascii="Times New Roman" w:hAnsi="Times New Roman" w:cs="Times New Roman"/>
          <w:noProof/>
          <w:sz w:val="24"/>
        </w:rPr>
        <w:t xml:space="preserve">, S., Chen, X., Cheng, Q., &amp; Shevlin, T. (2010). Are family firms more tax aggressive than non-family firms? </w:t>
      </w:r>
      <w:r w:rsidRPr="0099292E">
        <w:rPr>
          <w:rFonts w:ascii="Times New Roman" w:hAnsi="Times New Roman" w:cs="Times New Roman"/>
          <w:i/>
          <w:iCs/>
          <w:noProof/>
          <w:sz w:val="24"/>
        </w:rPr>
        <w:t>Journal of Financial Economics</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95</w:t>
      </w:r>
      <w:r w:rsidRPr="0099292E">
        <w:rPr>
          <w:rFonts w:ascii="Times New Roman" w:hAnsi="Times New Roman" w:cs="Times New Roman"/>
          <w:noProof/>
          <w:sz w:val="24"/>
        </w:rPr>
        <w:t>(1), 41–61. https://doi.org/10.1016/j.jfineco.2009.02.003</w:t>
      </w:r>
    </w:p>
    <w:p w14:paraId="6A3ED54A"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7" w:name="Direktorat"/>
      <w:r w:rsidRPr="0099292E">
        <w:rPr>
          <w:rFonts w:ascii="Times New Roman" w:hAnsi="Times New Roman" w:cs="Times New Roman"/>
          <w:noProof/>
          <w:sz w:val="24"/>
        </w:rPr>
        <w:t>Direktorat</w:t>
      </w:r>
      <w:bookmarkEnd w:id="7"/>
      <w:r w:rsidRPr="0099292E">
        <w:rPr>
          <w:rFonts w:ascii="Times New Roman" w:hAnsi="Times New Roman" w:cs="Times New Roman"/>
          <w:noProof/>
          <w:sz w:val="24"/>
        </w:rPr>
        <w:t xml:space="preserve"> Jenderal Pajak. (2024). </w:t>
      </w:r>
      <w:r w:rsidRPr="0099292E">
        <w:rPr>
          <w:rFonts w:ascii="Times New Roman" w:hAnsi="Times New Roman" w:cs="Times New Roman"/>
          <w:i/>
          <w:iCs/>
          <w:noProof/>
          <w:sz w:val="24"/>
        </w:rPr>
        <w:t>Statistik Penerimaan Pajak Tahun 2023 dalam Angka</w:t>
      </w:r>
      <w:r w:rsidRPr="0099292E">
        <w:rPr>
          <w:rFonts w:ascii="Times New Roman" w:hAnsi="Times New Roman" w:cs="Times New Roman"/>
          <w:noProof/>
          <w:sz w:val="24"/>
        </w:rPr>
        <w:t>. Direktorat Jenderal Pajak. https://pajak.go.id/index.php/id/artikel/statistik-penerimaan-pajak-tahun-2023-dalam-angka</w:t>
      </w:r>
    </w:p>
    <w:p w14:paraId="078978D7" w14:textId="12E2B4DB"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8" w:name="Ekawati"/>
      <w:r w:rsidRPr="0099292E">
        <w:rPr>
          <w:rFonts w:ascii="Times New Roman" w:hAnsi="Times New Roman" w:cs="Times New Roman"/>
          <w:noProof/>
          <w:sz w:val="24"/>
        </w:rPr>
        <w:t>Ekawati</w:t>
      </w:r>
      <w:bookmarkEnd w:id="8"/>
      <w:r w:rsidR="008B38F8">
        <w:rPr>
          <w:rFonts w:ascii="Times New Roman" w:hAnsi="Times New Roman" w:cs="Times New Roman"/>
          <w:noProof/>
          <w:sz w:val="24"/>
        </w:rPr>
        <w:t xml:space="preserve">, E. (2025). The </w:t>
      </w:r>
      <w:r w:rsidR="008B38F8">
        <w:rPr>
          <w:rFonts w:ascii="Times New Roman" w:hAnsi="Times New Roman" w:cs="Times New Roman"/>
          <w:noProof/>
          <w:sz w:val="24"/>
          <w:lang w:val="id-ID"/>
        </w:rPr>
        <w:t>r</w:t>
      </w:r>
      <w:r w:rsidR="008B38F8">
        <w:rPr>
          <w:rFonts w:ascii="Times New Roman" w:hAnsi="Times New Roman" w:cs="Times New Roman"/>
          <w:noProof/>
          <w:sz w:val="24"/>
        </w:rPr>
        <w:t xml:space="preserve">elationships </w:t>
      </w:r>
      <w:r w:rsidR="008B38F8">
        <w:rPr>
          <w:rFonts w:ascii="Times New Roman" w:hAnsi="Times New Roman" w:cs="Times New Roman"/>
          <w:noProof/>
          <w:sz w:val="24"/>
          <w:lang w:val="id-ID"/>
        </w:rPr>
        <w:t>b</w:t>
      </w:r>
      <w:r w:rsidRPr="0099292E">
        <w:rPr>
          <w:rFonts w:ascii="Times New Roman" w:hAnsi="Times New Roman" w:cs="Times New Roman"/>
          <w:noProof/>
          <w:sz w:val="24"/>
        </w:rPr>
        <w:t>etween E</w:t>
      </w:r>
      <w:r w:rsidR="009D7FF5">
        <w:rPr>
          <w:rFonts w:ascii="Times New Roman" w:hAnsi="Times New Roman" w:cs="Times New Roman"/>
          <w:noProof/>
          <w:sz w:val="24"/>
        </w:rPr>
        <w:t>SG</w:t>
      </w:r>
      <w:r w:rsidR="008B38F8">
        <w:rPr>
          <w:rFonts w:ascii="Times New Roman" w:hAnsi="Times New Roman" w:cs="Times New Roman"/>
          <w:noProof/>
          <w:sz w:val="24"/>
        </w:rPr>
        <w:t xml:space="preserve"> </w:t>
      </w:r>
      <w:r w:rsidR="008B38F8">
        <w:rPr>
          <w:rFonts w:ascii="Times New Roman" w:hAnsi="Times New Roman" w:cs="Times New Roman"/>
          <w:noProof/>
          <w:sz w:val="24"/>
          <w:lang w:val="id-ID"/>
        </w:rPr>
        <w:t>r</w:t>
      </w:r>
      <w:r w:rsidR="008B38F8">
        <w:rPr>
          <w:rFonts w:ascii="Times New Roman" w:hAnsi="Times New Roman" w:cs="Times New Roman"/>
          <w:noProof/>
          <w:sz w:val="24"/>
        </w:rPr>
        <w:t xml:space="preserve">esponsibility, </w:t>
      </w:r>
      <w:r w:rsidR="008B38F8">
        <w:rPr>
          <w:rFonts w:ascii="Times New Roman" w:hAnsi="Times New Roman" w:cs="Times New Roman"/>
          <w:noProof/>
          <w:sz w:val="24"/>
          <w:lang w:val="id-ID"/>
        </w:rPr>
        <w:t>e</w:t>
      </w:r>
      <w:r w:rsidR="008B38F8">
        <w:rPr>
          <w:rFonts w:ascii="Times New Roman" w:hAnsi="Times New Roman" w:cs="Times New Roman"/>
          <w:noProof/>
          <w:sz w:val="24"/>
        </w:rPr>
        <w:t xml:space="preserve">arnings </w:t>
      </w:r>
      <w:r w:rsidR="008B38F8">
        <w:rPr>
          <w:rFonts w:ascii="Times New Roman" w:hAnsi="Times New Roman" w:cs="Times New Roman"/>
          <w:noProof/>
          <w:sz w:val="24"/>
          <w:lang w:val="id-ID"/>
        </w:rPr>
        <w:t>m</w:t>
      </w:r>
      <w:r w:rsidR="008B38F8">
        <w:rPr>
          <w:rFonts w:ascii="Times New Roman" w:hAnsi="Times New Roman" w:cs="Times New Roman"/>
          <w:noProof/>
          <w:sz w:val="24"/>
        </w:rPr>
        <w:t xml:space="preserve">anagement, and </w:t>
      </w:r>
      <w:r w:rsidR="008B38F8">
        <w:rPr>
          <w:rFonts w:ascii="Times New Roman" w:hAnsi="Times New Roman" w:cs="Times New Roman"/>
          <w:noProof/>
          <w:sz w:val="24"/>
          <w:lang w:val="id-ID"/>
        </w:rPr>
        <w:t>t</w:t>
      </w:r>
      <w:r w:rsidR="008B38F8">
        <w:rPr>
          <w:rFonts w:ascii="Times New Roman" w:hAnsi="Times New Roman" w:cs="Times New Roman"/>
          <w:noProof/>
          <w:sz w:val="24"/>
        </w:rPr>
        <w:t xml:space="preserve">ax </w:t>
      </w:r>
      <w:r w:rsidR="008B38F8">
        <w:rPr>
          <w:rFonts w:ascii="Times New Roman" w:hAnsi="Times New Roman" w:cs="Times New Roman"/>
          <w:noProof/>
          <w:sz w:val="24"/>
          <w:lang w:val="id-ID"/>
        </w:rPr>
        <w:t>a</w:t>
      </w:r>
      <w:r w:rsidR="008B38F8">
        <w:rPr>
          <w:rFonts w:ascii="Times New Roman" w:hAnsi="Times New Roman" w:cs="Times New Roman"/>
          <w:noProof/>
          <w:sz w:val="24"/>
        </w:rPr>
        <w:t xml:space="preserve">ggressiveness: Evidence of the </w:t>
      </w:r>
      <w:r w:rsidR="008B38F8">
        <w:rPr>
          <w:rFonts w:ascii="Times New Roman" w:hAnsi="Times New Roman" w:cs="Times New Roman"/>
          <w:noProof/>
          <w:sz w:val="24"/>
          <w:lang w:val="id-ID"/>
        </w:rPr>
        <w:t>h</w:t>
      </w:r>
      <w:r w:rsidR="008B38F8">
        <w:rPr>
          <w:rFonts w:ascii="Times New Roman" w:hAnsi="Times New Roman" w:cs="Times New Roman"/>
          <w:noProof/>
          <w:sz w:val="24"/>
        </w:rPr>
        <w:t xml:space="preserve">alo </w:t>
      </w:r>
      <w:r w:rsidR="008B38F8">
        <w:rPr>
          <w:rFonts w:ascii="Times New Roman" w:hAnsi="Times New Roman" w:cs="Times New Roman"/>
          <w:noProof/>
          <w:sz w:val="24"/>
          <w:lang w:val="id-ID"/>
        </w:rPr>
        <w:t>e</w:t>
      </w:r>
      <w:r w:rsidR="008B38F8">
        <w:rPr>
          <w:rFonts w:ascii="Times New Roman" w:hAnsi="Times New Roman" w:cs="Times New Roman"/>
          <w:noProof/>
          <w:sz w:val="24"/>
        </w:rPr>
        <w:t xml:space="preserve">ffect </w:t>
      </w:r>
      <w:r w:rsidR="008B38F8">
        <w:rPr>
          <w:rFonts w:ascii="Times New Roman" w:hAnsi="Times New Roman" w:cs="Times New Roman"/>
          <w:noProof/>
          <w:sz w:val="24"/>
          <w:lang w:val="id-ID"/>
        </w:rPr>
        <w:t>f</w:t>
      </w:r>
      <w:r w:rsidRPr="0099292E">
        <w:rPr>
          <w:rFonts w:ascii="Times New Roman" w:hAnsi="Times New Roman" w:cs="Times New Roman"/>
          <w:noProof/>
          <w:sz w:val="24"/>
        </w:rPr>
        <w:t xml:space="preserve">rom Indonesia. </w:t>
      </w:r>
      <w:r w:rsidRPr="0099292E">
        <w:rPr>
          <w:rFonts w:ascii="Times New Roman" w:hAnsi="Times New Roman" w:cs="Times New Roman"/>
          <w:i/>
          <w:iCs/>
          <w:noProof/>
          <w:sz w:val="24"/>
        </w:rPr>
        <w:t>Journal of Indonesian Economy and Business</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40</w:t>
      </w:r>
      <w:r w:rsidRPr="0099292E">
        <w:rPr>
          <w:rFonts w:ascii="Times New Roman" w:hAnsi="Times New Roman" w:cs="Times New Roman"/>
          <w:noProof/>
          <w:sz w:val="24"/>
        </w:rPr>
        <w:t>(1), 75–107. https://doi.org/10.22146/jieb.v40i1.10099</w:t>
      </w:r>
    </w:p>
    <w:p w14:paraId="3FED745F"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9" w:name="Fafaliou"/>
      <w:r w:rsidRPr="0099292E">
        <w:rPr>
          <w:rFonts w:ascii="Times New Roman" w:hAnsi="Times New Roman" w:cs="Times New Roman"/>
          <w:noProof/>
          <w:sz w:val="24"/>
        </w:rPr>
        <w:t>Fafaliou</w:t>
      </w:r>
      <w:bookmarkEnd w:id="9"/>
      <w:r w:rsidRPr="0099292E">
        <w:rPr>
          <w:rFonts w:ascii="Times New Roman" w:hAnsi="Times New Roman" w:cs="Times New Roman"/>
          <w:noProof/>
          <w:sz w:val="24"/>
        </w:rPr>
        <w:t xml:space="preserve">, I., Giaka, M., Konstantios, D., &amp; Polemis, M. (2022). Firms’ ESG reputational risk and market longevity: A firm-level analysis for the United States. </w:t>
      </w:r>
      <w:r w:rsidRPr="0099292E">
        <w:rPr>
          <w:rFonts w:ascii="Times New Roman" w:hAnsi="Times New Roman" w:cs="Times New Roman"/>
          <w:i/>
          <w:iCs/>
          <w:noProof/>
          <w:sz w:val="24"/>
        </w:rPr>
        <w:t>Journal of Business Research</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149</w:t>
      </w:r>
      <w:r w:rsidRPr="0099292E">
        <w:rPr>
          <w:rFonts w:ascii="Times New Roman" w:hAnsi="Times New Roman" w:cs="Times New Roman"/>
          <w:noProof/>
          <w:sz w:val="24"/>
        </w:rPr>
        <w:t>, 161–177. https://doi.org/10.1016/j.jbusres.2022.05.010</w:t>
      </w:r>
    </w:p>
    <w:p w14:paraId="1396370F" w14:textId="4DA283F8"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0" w:name="Firmansyah"/>
      <w:r w:rsidRPr="0099292E">
        <w:rPr>
          <w:rFonts w:ascii="Times New Roman" w:hAnsi="Times New Roman" w:cs="Times New Roman"/>
          <w:noProof/>
          <w:sz w:val="24"/>
        </w:rPr>
        <w:t>Firmansyah</w:t>
      </w:r>
      <w:bookmarkEnd w:id="10"/>
      <w:r w:rsidRPr="0099292E">
        <w:rPr>
          <w:rFonts w:ascii="Times New Roman" w:hAnsi="Times New Roman" w:cs="Times New Roman"/>
          <w:noProof/>
          <w:sz w:val="24"/>
        </w:rPr>
        <w:t xml:space="preserve">, A., Arham, A., Qadri, R. A., Wibowo, P., Irawan, F., Kustiani, N. A., Wijaya, S., Andriani, A. F., Arfiansyah, Z., Kurniawati, L., Mabrur, A., Dinarjito, A., Kusumawati, R., &amp; Mahrus, M. L. (2022). Political connections, investment opportunity sets, tax avoidance: </w:t>
      </w:r>
      <w:r w:rsidR="009D7FF5">
        <w:rPr>
          <w:rFonts w:ascii="Times New Roman" w:hAnsi="Times New Roman" w:cs="Times New Roman"/>
          <w:noProof/>
          <w:sz w:val="24"/>
        </w:rPr>
        <w:t>D</w:t>
      </w:r>
      <w:r w:rsidRPr="0099292E">
        <w:rPr>
          <w:rFonts w:ascii="Times New Roman" w:hAnsi="Times New Roman" w:cs="Times New Roman"/>
          <w:noProof/>
          <w:sz w:val="24"/>
        </w:rPr>
        <w:t xml:space="preserve">oes corporate social responsibility disclosure in Indonesia have a role? </w:t>
      </w:r>
      <w:r w:rsidRPr="0099292E">
        <w:rPr>
          <w:rFonts w:ascii="Times New Roman" w:hAnsi="Times New Roman" w:cs="Times New Roman"/>
          <w:i/>
          <w:iCs/>
          <w:noProof/>
          <w:sz w:val="24"/>
        </w:rPr>
        <w:t>Heliyon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8</w:t>
      </w:r>
      <w:r w:rsidRPr="0099292E">
        <w:rPr>
          <w:rFonts w:ascii="Times New Roman" w:hAnsi="Times New Roman" w:cs="Times New Roman"/>
          <w:noProof/>
          <w:sz w:val="24"/>
        </w:rPr>
        <w:t>(8). https://doi.org/10.1016/j.heliyon.2022.e10155</w:t>
      </w:r>
    </w:p>
    <w:p w14:paraId="04CAE610" w14:textId="1A736C9D"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1" w:name="Fuadah"/>
      <w:r w:rsidRPr="0099292E">
        <w:rPr>
          <w:rFonts w:ascii="Times New Roman" w:hAnsi="Times New Roman" w:cs="Times New Roman"/>
          <w:noProof/>
          <w:sz w:val="24"/>
        </w:rPr>
        <w:t>Fuadah</w:t>
      </w:r>
      <w:bookmarkEnd w:id="11"/>
      <w:r w:rsidRPr="0099292E">
        <w:rPr>
          <w:rFonts w:ascii="Times New Roman" w:hAnsi="Times New Roman" w:cs="Times New Roman"/>
          <w:noProof/>
          <w:sz w:val="24"/>
        </w:rPr>
        <w:t>, L. L., Dewi, K., Mukhtaruddin, M., Kalsum,</w:t>
      </w:r>
      <w:r w:rsidR="008B38F8">
        <w:rPr>
          <w:rFonts w:ascii="Times New Roman" w:hAnsi="Times New Roman" w:cs="Times New Roman"/>
          <w:noProof/>
          <w:sz w:val="24"/>
        </w:rPr>
        <w:t xml:space="preserve"> U., &amp; Arisman, A. (2022). The </w:t>
      </w:r>
      <w:r w:rsidR="008B38F8">
        <w:rPr>
          <w:rFonts w:ascii="Times New Roman" w:hAnsi="Times New Roman" w:cs="Times New Roman"/>
          <w:noProof/>
          <w:sz w:val="24"/>
          <w:lang w:val="id-ID"/>
        </w:rPr>
        <w:t>r</w:t>
      </w:r>
      <w:r w:rsidR="008B38F8">
        <w:rPr>
          <w:rFonts w:ascii="Times New Roman" w:hAnsi="Times New Roman" w:cs="Times New Roman"/>
          <w:noProof/>
          <w:sz w:val="24"/>
        </w:rPr>
        <w:t xml:space="preserve">elationship between </w:t>
      </w:r>
      <w:r w:rsidR="008B38F8">
        <w:rPr>
          <w:rFonts w:ascii="Times New Roman" w:hAnsi="Times New Roman" w:cs="Times New Roman"/>
          <w:noProof/>
          <w:sz w:val="24"/>
          <w:lang w:val="id-ID"/>
        </w:rPr>
        <w:t>s</w:t>
      </w:r>
      <w:r w:rsidRPr="0099292E">
        <w:rPr>
          <w:rFonts w:ascii="Times New Roman" w:hAnsi="Times New Roman" w:cs="Times New Roman"/>
          <w:noProof/>
          <w:sz w:val="24"/>
        </w:rPr>
        <w:t>ustainabi</w:t>
      </w:r>
      <w:r w:rsidR="008B38F8">
        <w:rPr>
          <w:rFonts w:ascii="Times New Roman" w:hAnsi="Times New Roman" w:cs="Times New Roman"/>
          <w:noProof/>
          <w:sz w:val="24"/>
        </w:rPr>
        <w:t xml:space="preserve">lity </w:t>
      </w:r>
      <w:r w:rsidR="008B38F8">
        <w:rPr>
          <w:rFonts w:ascii="Times New Roman" w:hAnsi="Times New Roman" w:cs="Times New Roman"/>
          <w:noProof/>
          <w:sz w:val="24"/>
          <w:lang w:val="id-ID"/>
        </w:rPr>
        <w:t>r</w:t>
      </w:r>
      <w:r w:rsidR="008B38F8">
        <w:rPr>
          <w:rFonts w:ascii="Times New Roman" w:hAnsi="Times New Roman" w:cs="Times New Roman"/>
          <w:noProof/>
          <w:sz w:val="24"/>
        </w:rPr>
        <w:t xml:space="preserve">eporting, </w:t>
      </w:r>
      <w:r w:rsidR="008B38F8">
        <w:rPr>
          <w:rFonts w:ascii="Times New Roman" w:hAnsi="Times New Roman" w:cs="Times New Roman"/>
          <w:noProof/>
          <w:sz w:val="24"/>
          <w:lang w:val="id-ID"/>
        </w:rPr>
        <w:t>e</w:t>
      </w:r>
      <w:r w:rsidR="008B38F8">
        <w:rPr>
          <w:rFonts w:ascii="Times New Roman" w:hAnsi="Times New Roman" w:cs="Times New Roman"/>
          <w:noProof/>
          <w:sz w:val="24"/>
        </w:rPr>
        <w:t>-</w:t>
      </w:r>
      <w:r w:rsidR="008B38F8">
        <w:rPr>
          <w:rFonts w:ascii="Times New Roman" w:hAnsi="Times New Roman" w:cs="Times New Roman"/>
          <w:noProof/>
          <w:sz w:val="24"/>
          <w:lang w:val="id-ID"/>
        </w:rPr>
        <w:t>c</w:t>
      </w:r>
      <w:r w:rsidR="008B38F8">
        <w:rPr>
          <w:rFonts w:ascii="Times New Roman" w:hAnsi="Times New Roman" w:cs="Times New Roman"/>
          <w:noProof/>
          <w:sz w:val="24"/>
        </w:rPr>
        <w:t xml:space="preserve">ommerce, </w:t>
      </w:r>
      <w:r w:rsidR="008B38F8">
        <w:rPr>
          <w:rFonts w:ascii="Times New Roman" w:hAnsi="Times New Roman" w:cs="Times New Roman"/>
          <w:noProof/>
          <w:sz w:val="24"/>
          <w:lang w:val="id-ID"/>
        </w:rPr>
        <w:t>f</w:t>
      </w:r>
      <w:r w:rsidR="008B38F8">
        <w:rPr>
          <w:rFonts w:ascii="Times New Roman" w:hAnsi="Times New Roman" w:cs="Times New Roman"/>
          <w:noProof/>
          <w:sz w:val="24"/>
        </w:rPr>
        <w:t xml:space="preserve">irm </w:t>
      </w:r>
      <w:r w:rsidR="008B38F8">
        <w:rPr>
          <w:rFonts w:ascii="Times New Roman" w:hAnsi="Times New Roman" w:cs="Times New Roman"/>
          <w:noProof/>
          <w:sz w:val="24"/>
          <w:lang w:val="id-ID"/>
        </w:rPr>
        <w:t>p</w:t>
      </w:r>
      <w:r w:rsidRPr="0099292E">
        <w:rPr>
          <w:rFonts w:ascii="Times New Roman" w:hAnsi="Times New Roman" w:cs="Times New Roman"/>
          <w:noProof/>
          <w:sz w:val="24"/>
        </w:rPr>
        <w:t>erformance</w:t>
      </w:r>
      <w:r w:rsidR="009D7FF5">
        <w:rPr>
          <w:rFonts w:ascii="Times New Roman" w:hAnsi="Times New Roman" w:cs="Times New Roman"/>
          <w:noProof/>
          <w:sz w:val="24"/>
        </w:rPr>
        <w:t>,</w:t>
      </w:r>
      <w:r w:rsidR="008B38F8">
        <w:rPr>
          <w:rFonts w:ascii="Times New Roman" w:hAnsi="Times New Roman" w:cs="Times New Roman"/>
          <w:noProof/>
          <w:sz w:val="24"/>
        </w:rPr>
        <w:t xml:space="preserve"> and </w:t>
      </w:r>
      <w:r w:rsidR="008B38F8">
        <w:rPr>
          <w:rFonts w:ascii="Times New Roman" w:hAnsi="Times New Roman" w:cs="Times New Roman"/>
          <w:noProof/>
          <w:sz w:val="24"/>
          <w:lang w:val="id-ID"/>
        </w:rPr>
        <w:t>t</w:t>
      </w:r>
      <w:r w:rsidR="008B38F8">
        <w:rPr>
          <w:rFonts w:ascii="Times New Roman" w:hAnsi="Times New Roman" w:cs="Times New Roman"/>
          <w:noProof/>
          <w:sz w:val="24"/>
        </w:rPr>
        <w:t xml:space="preserve">ax </w:t>
      </w:r>
      <w:r w:rsidR="008B38F8">
        <w:rPr>
          <w:rFonts w:ascii="Times New Roman" w:hAnsi="Times New Roman" w:cs="Times New Roman"/>
          <w:noProof/>
          <w:sz w:val="24"/>
          <w:lang w:val="id-ID"/>
        </w:rPr>
        <w:t>a</w:t>
      </w:r>
      <w:r w:rsidR="008B38F8">
        <w:rPr>
          <w:rFonts w:ascii="Times New Roman" w:hAnsi="Times New Roman" w:cs="Times New Roman"/>
          <w:noProof/>
          <w:sz w:val="24"/>
        </w:rPr>
        <w:t xml:space="preserve">voidance with </w:t>
      </w:r>
      <w:r w:rsidR="008B38F8">
        <w:rPr>
          <w:rFonts w:ascii="Times New Roman" w:hAnsi="Times New Roman" w:cs="Times New Roman"/>
          <w:noProof/>
          <w:sz w:val="24"/>
          <w:lang w:val="id-ID"/>
        </w:rPr>
        <w:t>o</w:t>
      </w:r>
      <w:r w:rsidR="008B38F8">
        <w:rPr>
          <w:rFonts w:ascii="Times New Roman" w:hAnsi="Times New Roman" w:cs="Times New Roman"/>
          <w:noProof/>
          <w:sz w:val="24"/>
        </w:rPr>
        <w:t xml:space="preserve">rganizational </w:t>
      </w:r>
      <w:r w:rsidR="008B38F8">
        <w:rPr>
          <w:rFonts w:ascii="Times New Roman" w:hAnsi="Times New Roman" w:cs="Times New Roman"/>
          <w:noProof/>
          <w:sz w:val="24"/>
          <w:lang w:val="id-ID"/>
        </w:rPr>
        <w:t>c</w:t>
      </w:r>
      <w:r w:rsidR="008B38F8">
        <w:rPr>
          <w:rFonts w:ascii="Times New Roman" w:hAnsi="Times New Roman" w:cs="Times New Roman"/>
          <w:noProof/>
          <w:sz w:val="24"/>
        </w:rPr>
        <w:t xml:space="preserve">ulture as </w:t>
      </w:r>
      <w:r w:rsidR="008B38F8">
        <w:rPr>
          <w:rFonts w:ascii="Times New Roman" w:hAnsi="Times New Roman" w:cs="Times New Roman"/>
          <w:noProof/>
          <w:sz w:val="24"/>
          <w:lang w:val="id-ID"/>
        </w:rPr>
        <w:t>m</w:t>
      </w:r>
      <w:r w:rsidR="008B38F8">
        <w:rPr>
          <w:rFonts w:ascii="Times New Roman" w:hAnsi="Times New Roman" w:cs="Times New Roman"/>
          <w:noProof/>
          <w:sz w:val="24"/>
        </w:rPr>
        <w:t xml:space="preserve">oderating </w:t>
      </w:r>
      <w:r w:rsidR="008B38F8">
        <w:rPr>
          <w:rFonts w:ascii="Times New Roman" w:hAnsi="Times New Roman" w:cs="Times New Roman"/>
          <w:noProof/>
          <w:sz w:val="24"/>
          <w:lang w:val="id-ID"/>
        </w:rPr>
        <w:t>v</w:t>
      </w:r>
      <w:r w:rsidR="008B38F8">
        <w:rPr>
          <w:rFonts w:ascii="Times New Roman" w:hAnsi="Times New Roman" w:cs="Times New Roman"/>
          <w:noProof/>
          <w:sz w:val="24"/>
        </w:rPr>
        <w:t xml:space="preserve">ariable in </w:t>
      </w:r>
      <w:r w:rsidR="008B38F8">
        <w:rPr>
          <w:rFonts w:ascii="Times New Roman" w:hAnsi="Times New Roman" w:cs="Times New Roman"/>
          <w:noProof/>
          <w:sz w:val="24"/>
          <w:lang w:val="id-ID"/>
        </w:rPr>
        <w:t>s</w:t>
      </w:r>
      <w:r w:rsidR="008B38F8">
        <w:rPr>
          <w:rFonts w:ascii="Times New Roman" w:hAnsi="Times New Roman" w:cs="Times New Roman"/>
          <w:noProof/>
          <w:sz w:val="24"/>
        </w:rPr>
        <w:t xml:space="preserve">mall and </w:t>
      </w:r>
      <w:r w:rsidR="008B38F8">
        <w:rPr>
          <w:rFonts w:ascii="Times New Roman" w:hAnsi="Times New Roman" w:cs="Times New Roman"/>
          <w:noProof/>
          <w:sz w:val="24"/>
          <w:lang w:val="id-ID"/>
        </w:rPr>
        <w:t>m</w:t>
      </w:r>
      <w:r w:rsidR="008B38F8">
        <w:rPr>
          <w:rFonts w:ascii="Times New Roman" w:hAnsi="Times New Roman" w:cs="Times New Roman"/>
          <w:noProof/>
          <w:sz w:val="24"/>
        </w:rPr>
        <w:t xml:space="preserve">edium </w:t>
      </w:r>
      <w:r w:rsidR="008B38F8">
        <w:rPr>
          <w:rFonts w:ascii="Times New Roman" w:hAnsi="Times New Roman" w:cs="Times New Roman"/>
          <w:noProof/>
          <w:sz w:val="24"/>
          <w:lang w:val="id-ID"/>
        </w:rPr>
        <w:t>e</w:t>
      </w:r>
      <w:r w:rsidRPr="0099292E">
        <w:rPr>
          <w:rFonts w:ascii="Times New Roman" w:hAnsi="Times New Roman" w:cs="Times New Roman"/>
          <w:noProof/>
          <w:sz w:val="24"/>
        </w:rPr>
        <w:t xml:space="preserve">nterprises in Palembang. </w:t>
      </w:r>
      <w:r w:rsidRPr="0099292E">
        <w:rPr>
          <w:rFonts w:ascii="Times New Roman" w:hAnsi="Times New Roman" w:cs="Times New Roman"/>
          <w:i/>
          <w:iCs/>
          <w:noProof/>
          <w:sz w:val="24"/>
        </w:rPr>
        <w:t>Sustainability (Switzerland)</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14</w:t>
      </w:r>
      <w:r w:rsidRPr="0099292E">
        <w:rPr>
          <w:rFonts w:ascii="Times New Roman" w:hAnsi="Times New Roman" w:cs="Times New Roman"/>
          <w:noProof/>
          <w:sz w:val="24"/>
        </w:rPr>
        <w:t>(7). https://doi.org/10.3390/su14073738</w:t>
      </w:r>
    </w:p>
    <w:p w14:paraId="76E89C58"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2" w:name="Hajawiyah"/>
      <w:r w:rsidRPr="0099292E">
        <w:rPr>
          <w:rFonts w:ascii="Times New Roman" w:hAnsi="Times New Roman" w:cs="Times New Roman"/>
          <w:noProof/>
          <w:sz w:val="24"/>
        </w:rPr>
        <w:t>Hajawiyah</w:t>
      </w:r>
      <w:bookmarkEnd w:id="12"/>
      <w:r w:rsidRPr="0099292E">
        <w:rPr>
          <w:rFonts w:ascii="Times New Roman" w:hAnsi="Times New Roman" w:cs="Times New Roman"/>
          <w:noProof/>
          <w:sz w:val="24"/>
        </w:rPr>
        <w:t xml:space="preserve">, A., Suryarini, T., Kiswanto, &amp; Tarmudji, T. (2021). Analysis of a tax amnesty’s effectiveness in Indonesia. </w:t>
      </w:r>
      <w:r w:rsidRPr="0099292E">
        <w:rPr>
          <w:rFonts w:ascii="Times New Roman" w:hAnsi="Times New Roman" w:cs="Times New Roman"/>
          <w:i/>
          <w:iCs/>
          <w:noProof/>
          <w:sz w:val="24"/>
        </w:rPr>
        <w:t>Journal of International Accounting, Auditing and Taxation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44</w:t>
      </w:r>
      <w:r w:rsidRPr="0099292E">
        <w:rPr>
          <w:rFonts w:ascii="Times New Roman" w:hAnsi="Times New Roman" w:cs="Times New Roman"/>
          <w:noProof/>
          <w:sz w:val="24"/>
        </w:rPr>
        <w:t>. https://doi.org/10.1016/j.intaccaudtax.2021.100415</w:t>
      </w:r>
    </w:p>
    <w:p w14:paraId="54C2E66F" w14:textId="7E5CCBB4"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3" w:name="Halimatusadiah"/>
      <w:r w:rsidRPr="0099292E">
        <w:rPr>
          <w:rFonts w:ascii="Times New Roman" w:hAnsi="Times New Roman" w:cs="Times New Roman"/>
          <w:noProof/>
          <w:sz w:val="24"/>
        </w:rPr>
        <w:t>Halimatusadiah,</w:t>
      </w:r>
      <w:bookmarkEnd w:id="13"/>
      <w:r w:rsidRPr="0099292E">
        <w:rPr>
          <w:rFonts w:ascii="Times New Roman" w:hAnsi="Times New Roman" w:cs="Times New Roman"/>
          <w:noProof/>
          <w:sz w:val="24"/>
        </w:rPr>
        <w:t xml:space="preserve"> E., &amp; Gunwan, B. (2014). Anal</w:t>
      </w:r>
      <w:r w:rsidR="00207041">
        <w:rPr>
          <w:rFonts w:ascii="Times New Roman" w:hAnsi="Times New Roman" w:cs="Times New Roman"/>
          <w:noProof/>
          <w:sz w:val="24"/>
        </w:rPr>
        <w:t xml:space="preserve">isis </w:t>
      </w:r>
      <w:r w:rsidR="00207041">
        <w:rPr>
          <w:rFonts w:ascii="Times New Roman" w:hAnsi="Times New Roman" w:cs="Times New Roman"/>
          <w:noProof/>
          <w:sz w:val="24"/>
          <w:lang w:val="id-ID"/>
        </w:rPr>
        <w:t>p</w:t>
      </w:r>
      <w:r w:rsidR="00207041">
        <w:rPr>
          <w:rFonts w:ascii="Times New Roman" w:hAnsi="Times New Roman" w:cs="Times New Roman"/>
          <w:noProof/>
          <w:sz w:val="24"/>
        </w:rPr>
        <w:t xml:space="preserve">enerapan </w:t>
      </w:r>
      <w:r w:rsidR="00207041">
        <w:rPr>
          <w:rFonts w:ascii="Times New Roman" w:hAnsi="Times New Roman" w:cs="Times New Roman"/>
          <w:noProof/>
          <w:sz w:val="24"/>
          <w:lang w:val="id-ID"/>
        </w:rPr>
        <w:t>g</w:t>
      </w:r>
      <w:r w:rsidR="00207041">
        <w:rPr>
          <w:rFonts w:ascii="Times New Roman" w:hAnsi="Times New Roman" w:cs="Times New Roman"/>
          <w:noProof/>
          <w:sz w:val="24"/>
        </w:rPr>
        <w:t xml:space="preserve">ood </w:t>
      </w:r>
      <w:r w:rsidR="00207041">
        <w:rPr>
          <w:rFonts w:ascii="Times New Roman" w:hAnsi="Times New Roman" w:cs="Times New Roman"/>
          <w:noProof/>
          <w:sz w:val="24"/>
          <w:lang w:val="id-ID"/>
        </w:rPr>
        <w:t>c</w:t>
      </w:r>
      <w:r w:rsidR="00207041">
        <w:rPr>
          <w:rFonts w:ascii="Times New Roman" w:hAnsi="Times New Roman" w:cs="Times New Roman"/>
          <w:noProof/>
          <w:sz w:val="24"/>
        </w:rPr>
        <w:t xml:space="preserve">orporate </w:t>
      </w:r>
      <w:r w:rsidR="00207041">
        <w:rPr>
          <w:rFonts w:ascii="Times New Roman" w:hAnsi="Times New Roman" w:cs="Times New Roman"/>
          <w:noProof/>
          <w:sz w:val="24"/>
          <w:lang w:val="id-ID"/>
        </w:rPr>
        <w:t>g</w:t>
      </w:r>
      <w:r w:rsidR="00207041">
        <w:rPr>
          <w:rFonts w:ascii="Times New Roman" w:hAnsi="Times New Roman" w:cs="Times New Roman"/>
          <w:noProof/>
          <w:sz w:val="24"/>
        </w:rPr>
        <w:t xml:space="preserve">overnance </w:t>
      </w:r>
      <w:r w:rsidR="00207041">
        <w:rPr>
          <w:rFonts w:ascii="Times New Roman" w:hAnsi="Times New Roman" w:cs="Times New Roman"/>
          <w:noProof/>
          <w:sz w:val="24"/>
          <w:lang w:val="id-ID"/>
        </w:rPr>
        <w:t>d</w:t>
      </w:r>
      <w:r w:rsidR="00207041">
        <w:rPr>
          <w:rFonts w:ascii="Times New Roman" w:hAnsi="Times New Roman" w:cs="Times New Roman"/>
          <w:noProof/>
          <w:sz w:val="24"/>
        </w:rPr>
        <w:t xml:space="preserve">alam </w:t>
      </w:r>
      <w:r w:rsidR="00207041">
        <w:rPr>
          <w:rFonts w:ascii="Times New Roman" w:hAnsi="Times New Roman" w:cs="Times New Roman"/>
          <w:noProof/>
          <w:sz w:val="24"/>
          <w:lang w:val="id-ID"/>
        </w:rPr>
        <w:t>m</w:t>
      </w:r>
      <w:r w:rsidR="00207041">
        <w:rPr>
          <w:rFonts w:ascii="Times New Roman" w:hAnsi="Times New Roman" w:cs="Times New Roman"/>
          <w:noProof/>
          <w:sz w:val="24"/>
        </w:rPr>
        <w:t xml:space="preserve">engoplimalkan </w:t>
      </w:r>
      <w:r w:rsidR="00207041">
        <w:rPr>
          <w:rFonts w:ascii="Times New Roman" w:hAnsi="Times New Roman" w:cs="Times New Roman"/>
          <w:noProof/>
          <w:sz w:val="24"/>
          <w:lang w:val="id-ID"/>
        </w:rPr>
        <w:t>p</w:t>
      </w:r>
      <w:r w:rsidR="00207041">
        <w:rPr>
          <w:rFonts w:ascii="Times New Roman" w:hAnsi="Times New Roman" w:cs="Times New Roman"/>
          <w:noProof/>
          <w:sz w:val="24"/>
        </w:rPr>
        <w:t xml:space="preserve">elaksanaan </w:t>
      </w:r>
      <w:r w:rsidR="00207041">
        <w:rPr>
          <w:rFonts w:ascii="Times New Roman" w:hAnsi="Times New Roman" w:cs="Times New Roman"/>
          <w:noProof/>
          <w:sz w:val="24"/>
          <w:lang w:val="id-ID"/>
        </w:rPr>
        <w:t>s</w:t>
      </w:r>
      <w:r w:rsidR="00207041">
        <w:rPr>
          <w:rFonts w:ascii="Times New Roman" w:hAnsi="Times New Roman" w:cs="Times New Roman"/>
          <w:noProof/>
          <w:sz w:val="24"/>
        </w:rPr>
        <w:t xml:space="preserve">istem </w:t>
      </w:r>
      <w:r w:rsidR="00207041">
        <w:rPr>
          <w:rFonts w:ascii="Times New Roman" w:hAnsi="Times New Roman" w:cs="Times New Roman"/>
          <w:noProof/>
          <w:sz w:val="24"/>
          <w:lang w:val="id-ID"/>
        </w:rPr>
        <w:t>i</w:t>
      </w:r>
      <w:r w:rsidR="00207041">
        <w:rPr>
          <w:rFonts w:ascii="Times New Roman" w:hAnsi="Times New Roman" w:cs="Times New Roman"/>
          <w:noProof/>
          <w:sz w:val="24"/>
        </w:rPr>
        <w:t xml:space="preserve">nformasi </w:t>
      </w:r>
      <w:r w:rsidR="00207041">
        <w:rPr>
          <w:rFonts w:ascii="Times New Roman" w:hAnsi="Times New Roman" w:cs="Times New Roman"/>
          <w:noProof/>
          <w:sz w:val="24"/>
          <w:lang w:val="id-ID"/>
        </w:rPr>
        <w:t>a</w:t>
      </w:r>
      <w:r w:rsidRPr="0099292E">
        <w:rPr>
          <w:rFonts w:ascii="Times New Roman" w:hAnsi="Times New Roman" w:cs="Times New Roman"/>
          <w:noProof/>
          <w:sz w:val="24"/>
        </w:rPr>
        <w:t xml:space="preserve">kuntansi. </w:t>
      </w:r>
      <w:r w:rsidRPr="0099292E">
        <w:rPr>
          <w:rFonts w:ascii="Times New Roman" w:hAnsi="Times New Roman" w:cs="Times New Roman"/>
          <w:i/>
          <w:iCs/>
          <w:noProof/>
          <w:sz w:val="24"/>
        </w:rPr>
        <w:t>Jurnal Riset Akuntansi Dan Keuangan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2</w:t>
      </w:r>
      <w:r w:rsidRPr="0099292E">
        <w:rPr>
          <w:rFonts w:ascii="Times New Roman" w:hAnsi="Times New Roman" w:cs="Times New Roman"/>
          <w:noProof/>
          <w:sz w:val="24"/>
        </w:rPr>
        <w:t>(1), 300. https://doi.org/10.17509/jrak.v2i1.6583</w:t>
      </w:r>
    </w:p>
    <w:p w14:paraId="540F23F0" w14:textId="1420DD8B"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4" w:name="Handoyo"/>
      <w:r w:rsidRPr="0099292E">
        <w:rPr>
          <w:rFonts w:ascii="Times New Roman" w:hAnsi="Times New Roman" w:cs="Times New Roman"/>
          <w:noProof/>
          <w:sz w:val="24"/>
        </w:rPr>
        <w:t>Handoyo</w:t>
      </w:r>
      <w:bookmarkEnd w:id="14"/>
      <w:r w:rsidRPr="0099292E">
        <w:rPr>
          <w:rFonts w:ascii="Times New Roman" w:hAnsi="Times New Roman" w:cs="Times New Roman"/>
          <w:noProof/>
          <w:sz w:val="24"/>
        </w:rPr>
        <w:t>, S., Wicaksono, A. P</w:t>
      </w:r>
      <w:r w:rsidR="00207041">
        <w:rPr>
          <w:rFonts w:ascii="Times New Roman" w:hAnsi="Times New Roman" w:cs="Times New Roman"/>
          <w:noProof/>
          <w:sz w:val="24"/>
        </w:rPr>
        <w:t xml:space="preserve">., &amp; Darmesti, A. (2022). Does </w:t>
      </w:r>
      <w:r w:rsidR="00207041">
        <w:rPr>
          <w:rFonts w:ascii="Times New Roman" w:hAnsi="Times New Roman" w:cs="Times New Roman"/>
          <w:noProof/>
          <w:sz w:val="24"/>
          <w:lang w:val="id-ID"/>
        </w:rPr>
        <w:t>c</w:t>
      </w:r>
      <w:r w:rsidRPr="0099292E">
        <w:rPr>
          <w:rFonts w:ascii="Times New Roman" w:hAnsi="Times New Roman" w:cs="Times New Roman"/>
          <w:noProof/>
          <w:sz w:val="24"/>
        </w:rPr>
        <w:t>orpora</w:t>
      </w:r>
      <w:r w:rsidR="00207041">
        <w:rPr>
          <w:rFonts w:ascii="Times New Roman" w:hAnsi="Times New Roman" w:cs="Times New Roman"/>
          <w:noProof/>
          <w:sz w:val="24"/>
        </w:rPr>
        <w:t xml:space="preserve">te </w:t>
      </w:r>
      <w:r w:rsidR="00207041">
        <w:rPr>
          <w:rFonts w:ascii="Times New Roman" w:hAnsi="Times New Roman" w:cs="Times New Roman"/>
          <w:noProof/>
          <w:sz w:val="24"/>
          <w:lang w:val="id-ID"/>
        </w:rPr>
        <w:t>g</w:t>
      </w:r>
      <w:r w:rsidRPr="0099292E">
        <w:rPr>
          <w:rFonts w:ascii="Times New Roman" w:hAnsi="Times New Roman" w:cs="Times New Roman"/>
          <w:noProof/>
          <w:sz w:val="24"/>
        </w:rPr>
        <w:t xml:space="preserve">overnance </w:t>
      </w:r>
      <w:r w:rsidR="00207041">
        <w:rPr>
          <w:rFonts w:ascii="Times New Roman" w:hAnsi="Times New Roman" w:cs="Times New Roman"/>
          <w:noProof/>
          <w:sz w:val="24"/>
          <w:lang w:val="id-ID"/>
        </w:rPr>
        <w:t>s</w:t>
      </w:r>
      <w:r w:rsidR="00207041">
        <w:rPr>
          <w:rFonts w:ascii="Times New Roman" w:hAnsi="Times New Roman" w:cs="Times New Roman"/>
          <w:noProof/>
          <w:sz w:val="24"/>
        </w:rPr>
        <w:t xml:space="preserve">upport </w:t>
      </w:r>
      <w:r w:rsidR="00207041">
        <w:rPr>
          <w:rFonts w:ascii="Times New Roman" w:hAnsi="Times New Roman" w:cs="Times New Roman"/>
          <w:noProof/>
          <w:sz w:val="24"/>
          <w:lang w:val="id-ID"/>
        </w:rPr>
        <w:t>t</w:t>
      </w:r>
      <w:r w:rsidR="00207041">
        <w:rPr>
          <w:rFonts w:ascii="Times New Roman" w:hAnsi="Times New Roman" w:cs="Times New Roman"/>
          <w:noProof/>
          <w:sz w:val="24"/>
        </w:rPr>
        <w:t xml:space="preserve">ax </w:t>
      </w:r>
      <w:r w:rsidR="00207041">
        <w:rPr>
          <w:rFonts w:ascii="Times New Roman" w:hAnsi="Times New Roman" w:cs="Times New Roman"/>
          <w:noProof/>
          <w:sz w:val="24"/>
          <w:lang w:val="id-ID"/>
        </w:rPr>
        <w:t>a</w:t>
      </w:r>
      <w:r w:rsidR="00207041">
        <w:rPr>
          <w:rFonts w:ascii="Times New Roman" w:hAnsi="Times New Roman" w:cs="Times New Roman"/>
          <w:noProof/>
          <w:sz w:val="24"/>
        </w:rPr>
        <w:t xml:space="preserve">voidance </w:t>
      </w:r>
      <w:r w:rsidR="00207041">
        <w:rPr>
          <w:rFonts w:ascii="Times New Roman" w:hAnsi="Times New Roman" w:cs="Times New Roman"/>
          <w:noProof/>
          <w:sz w:val="24"/>
          <w:lang w:val="id-ID"/>
        </w:rPr>
        <w:t>p</w:t>
      </w:r>
      <w:r w:rsidRPr="0099292E">
        <w:rPr>
          <w:rFonts w:ascii="Times New Roman" w:hAnsi="Times New Roman" w:cs="Times New Roman"/>
          <w:noProof/>
          <w:sz w:val="24"/>
        </w:rPr>
        <w:t xml:space="preserve">ractice in Indonesia? </w:t>
      </w:r>
      <w:r w:rsidRPr="0099292E">
        <w:rPr>
          <w:rFonts w:ascii="Times New Roman" w:hAnsi="Times New Roman" w:cs="Times New Roman"/>
          <w:i/>
          <w:iCs/>
          <w:noProof/>
          <w:sz w:val="24"/>
        </w:rPr>
        <w:t>International Journal of Innovative Research and Scientific Studies</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5</w:t>
      </w:r>
      <w:r w:rsidRPr="0099292E">
        <w:rPr>
          <w:rFonts w:ascii="Times New Roman" w:hAnsi="Times New Roman" w:cs="Times New Roman"/>
          <w:noProof/>
          <w:sz w:val="24"/>
        </w:rPr>
        <w:t>(3), 184–201. https://doi.org/10.53894/ijirss.v5i3.505</w:t>
      </w:r>
    </w:p>
    <w:p w14:paraId="63E29271"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5" w:name="Hesford"/>
      <w:r w:rsidRPr="0099292E">
        <w:rPr>
          <w:rFonts w:ascii="Times New Roman" w:hAnsi="Times New Roman" w:cs="Times New Roman"/>
          <w:noProof/>
          <w:sz w:val="24"/>
        </w:rPr>
        <w:t>Hesford,</w:t>
      </w:r>
      <w:bookmarkEnd w:id="15"/>
      <w:r w:rsidRPr="0099292E">
        <w:rPr>
          <w:rFonts w:ascii="Times New Roman" w:hAnsi="Times New Roman" w:cs="Times New Roman"/>
          <w:noProof/>
          <w:sz w:val="24"/>
        </w:rPr>
        <w:t xml:space="preserve"> J. W., Lee, S. H. (Sam), Van der Stede, W. A., &amp; Young, S. M. (2006). Management Accounting: A Bibliographic Study. </w:t>
      </w:r>
      <w:r w:rsidRPr="0099292E">
        <w:rPr>
          <w:rFonts w:ascii="Times New Roman" w:hAnsi="Times New Roman" w:cs="Times New Roman"/>
          <w:i/>
          <w:iCs/>
          <w:noProof/>
          <w:sz w:val="24"/>
        </w:rPr>
        <w:t>Handbooks of Management Accounting Research</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w:t>
      </w:r>
      <w:r w:rsidRPr="0099292E">
        <w:rPr>
          <w:rFonts w:ascii="Times New Roman" w:hAnsi="Times New Roman" w:cs="Times New Roman"/>
          <w:noProof/>
          <w:sz w:val="24"/>
        </w:rPr>
        <w:t>, 3–26. https://doi.org/10.1016/S1751-3243(06)01001-7</w:t>
      </w:r>
    </w:p>
    <w:p w14:paraId="0618D43E" w14:textId="13747454"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6" w:name="Hoi"/>
      <w:r w:rsidRPr="0099292E">
        <w:rPr>
          <w:rFonts w:ascii="Times New Roman" w:hAnsi="Times New Roman" w:cs="Times New Roman"/>
          <w:noProof/>
          <w:sz w:val="24"/>
        </w:rPr>
        <w:t>Hoi</w:t>
      </w:r>
      <w:bookmarkEnd w:id="16"/>
      <w:r w:rsidRPr="0099292E">
        <w:rPr>
          <w:rFonts w:ascii="Times New Roman" w:hAnsi="Times New Roman" w:cs="Times New Roman"/>
          <w:noProof/>
          <w:sz w:val="24"/>
        </w:rPr>
        <w:t xml:space="preserve">, C. K., </w:t>
      </w:r>
      <w:r w:rsidR="00207041">
        <w:rPr>
          <w:rFonts w:ascii="Times New Roman" w:hAnsi="Times New Roman" w:cs="Times New Roman"/>
          <w:noProof/>
          <w:sz w:val="24"/>
        </w:rPr>
        <w:t xml:space="preserve">Wu, Q., &amp; Zhang, H. (2013). Is </w:t>
      </w:r>
      <w:r w:rsidR="00207041">
        <w:rPr>
          <w:rFonts w:ascii="Times New Roman" w:hAnsi="Times New Roman" w:cs="Times New Roman"/>
          <w:noProof/>
          <w:sz w:val="24"/>
          <w:lang w:val="id-ID"/>
        </w:rPr>
        <w:t>C</w:t>
      </w:r>
      <w:r w:rsidR="00207041">
        <w:rPr>
          <w:rFonts w:ascii="Times New Roman" w:hAnsi="Times New Roman" w:cs="Times New Roman"/>
          <w:noProof/>
          <w:sz w:val="24"/>
        </w:rPr>
        <w:t xml:space="preserve">orporate </w:t>
      </w:r>
      <w:r w:rsidR="00207041">
        <w:rPr>
          <w:rFonts w:ascii="Times New Roman" w:hAnsi="Times New Roman" w:cs="Times New Roman"/>
          <w:noProof/>
          <w:sz w:val="24"/>
          <w:lang w:val="id-ID"/>
        </w:rPr>
        <w:t>S</w:t>
      </w:r>
      <w:r w:rsidR="00207041">
        <w:rPr>
          <w:rFonts w:ascii="Times New Roman" w:hAnsi="Times New Roman" w:cs="Times New Roman"/>
          <w:noProof/>
          <w:sz w:val="24"/>
        </w:rPr>
        <w:t xml:space="preserve">ocial </w:t>
      </w:r>
      <w:r w:rsidR="00207041">
        <w:rPr>
          <w:rFonts w:ascii="Times New Roman" w:hAnsi="Times New Roman" w:cs="Times New Roman"/>
          <w:noProof/>
          <w:sz w:val="24"/>
          <w:lang w:val="id-ID"/>
        </w:rPr>
        <w:t>R</w:t>
      </w:r>
      <w:r w:rsidRPr="0099292E">
        <w:rPr>
          <w:rFonts w:ascii="Times New Roman" w:hAnsi="Times New Roman" w:cs="Times New Roman"/>
          <w:noProof/>
          <w:sz w:val="24"/>
        </w:rPr>
        <w:t xml:space="preserve">esponsibility (CSR) </w:t>
      </w:r>
      <w:r w:rsidRPr="0099292E">
        <w:rPr>
          <w:rFonts w:ascii="Times New Roman" w:hAnsi="Times New Roman" w:cs="Times New Roman"/>
          <w:noProof/>
          <w:sz w:val="24"/>
        </w:rPr>
        <w:lastRenderedPageBreak/>
        <w:t xml:space="preserve">associated with tax avoidance? Evidence from irresponsible CSR activities. </w:t>
      </w:r>
      <w:r w:rsidRPr="0099292E">
        <w:rPr>
          <w:rFonts w:ascii="Times New Roman" w:hAnsi="Times New Roman" w:cs="Times New Roman"/>
          <w:i/>
          <w:iCs/>
          <w:noProof/>
          <w:sz w:val="24"/>
        </w:rPr>
        <w:t>Accounting Review</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88</w:t>
      </w:r>
      <w:r w:rsidRPr="0099292E">
        <w:rPr>
          <w:rFonts w:ascii="Times New Roman" w:hAnsi="Times New Roman" w:cs="Times New Roman"/>
          <w:noProof/>
          <w:sz w:val="24"/>
        </w:rPr>
        <w:t>(6), 2025–2059. https://doi.org/10.2308/accr-50544</w:t>
      </w:r>
    </w:p>
    <w:p w14:paraId="0193042D" w14:textId="7D1AD322"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7" w:name="Istianingsih"/>
      <w:r w:rsidRPr="0099292E">
        <w:rPr>
          <w:rFonts w:ascii="Times New Roman" w:hAnsi="Times New Roman" w:cs="Times New Roman"/>
          <w:noProof/>
          <w:sz w:val="24"/>
        </w:rPr>
        <w:t>Istianingsih</w:t>
      </w:r>
      <w:bookmarkEnd w:id="17"/>
      <w:r w:rsidR="00207041">
        <w:rPr>
          <w:rFonts w:ascii="Times New Roman" w:hAnsi="Times New Roman" w:cs="Times New Roman"/>
          <w:noProof/>
          <w:sz w:val="24"/>
        </w:rPr>
        <w:t xml:space="preserve">. (2020). The </w:t>
      </w:r>
      <w:r w:rsidR="00207041">
        <w:rPr>
          <w:rFonts w:ascii="Times New Roman" w:hAnsi="Times New Roman" w:cs="Times New Roman"/>
          <w:noProof/>
          <w:sz w:val="24"/>
          <w:lang w:val="id-ID"/>
        </w:rPr>
        <w:t>e</w:t>
      </w:r>
      <w:r w:rsidR="00207041">
        <w:rPr>
          <w:rFonts w:ascii="Times New Roman" w:hAnsi="Times New Roman" w:cs="Times New Roman"/>
          <w:noProof/>
          <w:sz w:val="24"/>
        </w:rPr>
        <w:t xml:space="preserve">ffect of </w:t>
      </w:r>
      <w:r w:rsidR="00207041">
        <w:rPr>
          <w:rFonts w:ascii="Times New Roman" w:hAnsi="Times New Roman" w:cs="Times New Roman"/>
          <w:noProof/>
          <w:sz w:val="24"/>
          <w:lang w:val="id-ID"/>
        </w:rPr>
        <w:t>c</w:t>
      </w:r>
      <w:r w:rsidR="00207041">
        <w:rPr>
          <w:rFonts w:ascii="Times New Roman" w:hAnsi="Times New Roman" w:cs="Times New Roman"/>
          <w:noProof/>
          <w:sz w:val="24"/>
        </w:rPr>
        <w:t xml:space="preserve">orporate </w:t>
      </w:r>
      <w:r w:rsidR="00207041">
        <w:rPr>
          <w:rFonts w:ascii="Times New Roman" w:hAnsi="Times New Roman" w:cs="Times New Roman"/>
          <w:noProof/>
          <w:sz w:val="24"/>
          <w:lang w:val="id-ID"/>
        </w:rPr>
        <w:t>s</w:t>
      </w:r>
      <w:r w:rsidR="00207041">
        <w:rPr>
          <w:rFonts w:ascii="Times New Roman" w:hAnsi="Times New Roman" w:cs="Times New Roman"/>
          <w:noProof/>
          <w:sz w:val="24"/>
        </w:rPr>
        <w:t xml:space="preserve">ocial </w:t>
      </w:r>
      <w:r w:rsidR="00207041">
        <w:rPr>
          <w:rFonts w:ascii="Times New Roman" w:hAnsi="Times New Roman" w:cs="Times New Roman"/>
          <w:noProof/>
          <w:sz w:val="24"/>
          <w:lang w:val="id-ID"/>
        </w:rPr>
        <w:t>r</w:t>
      </w:r>
      <w:r w:rsidR="00207041">
        <w:rPr>
          <w:rFonts w:ascii="Times New Roman" w:hAnsi="Times New Roman" w:cs="Times New Roman"/>
          <w:noProof/>
          <w:sz w:val="24"/>
        </w:rPr>
        <w:t xml:space="preserve">esponsibility and </w:t>
      </w:r>
      <w:r w:rsidR="00207041">
        <w:rPr>
          <w:rFonts w:ascii="Times New Roman" w:hAnsi="Times New Roman" w:cs="Times New Roman"/>
          <w:noProof/>
          <w:sz w:val="24"/>
          <w:lang w:val="id-ID"/>
        </w:rPr>
        <w:t>g</w:t>
      </w:r>
      <w:r w:rsidR="00207041">
        <w:rPr>
          <w:rFonts w:ascii="Times New Roman" w:hAnsi="Times New Roman" w:cs="Times New Roman"/>
          <w:noProof/>
          <w:sz w:val="24"/>
        </w:rPr>
        <w:t xml:space="preserve">ood </w:t>
      </w:r>
      <w:r w:rsidR="00207041">
        <w:rPr>
          <w:rFonts w:ascii="Times New Roman" w:hAnsi="Times New Roman" w:cs="Times New Roman"/>
          <w:noProof/>
          <w:sz w:val="24"/>
          <w:lang w:val="id-ID"/>
        </w:rPr>
        <w:t>c</w:t>
      </w:r>
      <w:r w:rsidR="00207041">
        <w:rPr>
          <w:rFonts w:ascii="Times New Roman" w:hAnsi="Times New Roman" w:cs="Times New Roman"/>
          <w:noProof/>
          <w:sz w:val="24"/>
        </w:rPr>
        <w:t xml:space="preserve">orporate </w:t>
      </w:r>
      <w:r w:rsidR="00207041">
        <w:rPr>
          <w:rFonts w:ascii="Times New Roman" w:hAnsi="Times New Roman" w:cs="Times New Roman"/>
          <w:noProof/>
          <w:sz w:val="24"/>
          <w:lang w:val="id-ID"/>
        </w:rPr>
        <w:t>g</w:t>
      </w:r>
      <w:r w:rsidR="00207041">
        <w:rPr>
          <w:rFonts w:ascii="Times New Roman" w:hAnsi="Times New Roman" w:cs="Times New Roman"/>
          <w:noProof/>
          <w:sz w:val="24"/>
        </w:rPr>
        <w:t xml:space="preserve">overnance on </w:t>
      </w:r>
      <w:r w:rsidR="00207041">
        <w:rPr>
          <w:rFonts w:ascii="Times New Roman" w:hAnsi="Times New Roman" w:cs="Times New Roman"/>
          <w:noProof/>
          <w:sz w:val="24"/>
          <w:lang w:val="id-ID"/>
        </w:rPr>
        <w:t>p</w:t>
      </w:r>
      <w:r w:rsidR="00207041">
        <w:rPr>
          <w:rFonts w:ascii="Times New Roman" w:hAnsi="Times New Roman" w:cs="Times New Roman"/>
          <w:noProof/>
          <w:sz w:val="24"/>
        </w:rPr>
        <w:t xml:space="preserve">harmaceutical </w:t>
      </w:r>
      <w:r w:rsidR="00207041">
        <w:rPr>
          <w:rFonts w:ascii="Times New Roman" w:hAnsi="Times New Roman" w:cs="Times New Roman"/>
          <w:noProof/>
          <w:sz w:val="24"/>
          <w:lang w:val="id-ID"/>
        </w:rPr>
        <w:t>c</w:t>
      </w:r>
      <w:r w:rsidR="00207041">
        <w:rPr>
          <w:rFonts w:ascii="Times New Roman" w:hAnsi="Times New Roman" w:cs="Times New Roman"/>
          <w:noProof/>
          <w:sz w:val="24"/>
        </w:rPr>
        <w:t xml:space="preserve">ompany </w:t>
      </w:r>
      <w:r w:rsidR="00207041">
        <w:rPr>
          <w:rFonts w:ascii="Times New Roman" w:hAnsi="Times New Roman" w:cs="Times New Roman"/>
          <w:noProof/>
          <w:sz w:val="24"/>
          <w:lang w:val="id-ID"/>
        </w:rPr>
        <w:t>t</w:t>
      </w:r>
      <w:r w:rsidR="00207041">
        <w:rPr>
          <w:rFonts w:ascii="Times New Roman" w:hAnsi="Times New Roman" w:cs="Times New Roman"/>
          <w:noProof/>
          <w:sz w:val="24"/>
        </w:rPr>
        <w:t xml:space="preserve">ax </w:t>
      </w:r>
      <w:r w:rsidR="00207041">
        <w:rPr>
          <w:rFonts w:ascii="Times New Roman" w:hAnsi="Times New Roman" w:cs="Times New Roman"/>
          <w:noProof/>
          <w:sz w:val="24"/>
          <w:lang w:val="id-ID"/>
        </w:rPr>
        <w:t>a</w:t>
      </w:r>
      <w:r w:rsidRPr="0099292E">
        <w:rPr>
          <w:rFonts w:ascii="Times New Roman" w:hAnsi="Times New Roman" w:cs="Times New Roman"/>
          <w:noProof/>
          <w:sz w:val="24"/>
        </w:rPr>
        <w:t xml:space="preserve">voidation in Indonesia. </w:t>
      </w:r>
      <w:r w:rsidRPr="0099292E">
        <w:rPr>
          <w:rFonts w:ascii="Times New Roman" w:hAnsi="Times New Roman" w:cs="Times New Roman"/>
          <w:i/>
          <w:iCs/>
          <w:noProof/>
          <w:sz w:val="24"/>
        </w:rPr>
        <w:t>Systematic Reviews in Pharmacy</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11</w:t>
      </w:r>
      <w:r w:rsidRPr="0099292E">
        <w:rPr>
          <w:rFonts w:ascii="Times New Roman" w:hAnsi="Times New Roman" w:cs="Times New Roman"/>
          <w:noProof/>
          <w:sz w:val="24"/>
        </w:rPr>
        <w:t>(12), 977–983. https://doi.org/10.31838/srp.2020.5.140</w:t>
      </w:r>
    </w:p>
    <w:p w14:paraId="0013E7ED"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8" w:name="Jiang"/>
      <w:r w:rsidRPr="0099292E">
        <w:rPr>
          <w:rFonts w:ascii="Times New Roman" w:hAnsi="Times New Roman" w:cs="Times New Roman"/>
          <w:noProof/>
          <w:sz w:val="24"/>
        </w:rPr>
        <w:t>Jiang</w:t>
      </w:r>
      <w:bookmarkEnd w:id="18"/>
      <w:r w:rsidRPr="0099292E">
        <w:rPr>
          <w:rFonts w:ascii="Times New Roman" w:hAnsi="Times New Roman" w:cs="Times New Roman"/>
          <w:noProof/>
          <w:sz w:val="24"/>
        </w:rPr>
        <w:t xml:space="preserve">, W., Zhang, C., &amp; Si, C. (2022). The real effect of mandatory CSR disclosure: Evidence of corporate tax avoidance. </w:t>
      </w:r>
      <w:r w:rsidRPr="0099292E">
        <w:rPr>
          <w:rFonts w:ascii="Times New Roman" w:hAnsi="Times New Roman" w:cs="Times New Roman"/>
          <w:i/>
          <w:iCs/>
          <w:noProof/>
          <w:sz w:val="24"/>
        </w:rPr>
        <w:t>Technological Forecasting and Social Change</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179</w:t>
      </w:r>
      <w:r w:rsidRPr="0099292E">
        <w:rPr>
          <w:rFonts w:ascii="Times New Roman" w:hAnsi="Times New Roman" w:cs="Times New Roman"/>
          <w:noProof/>
          <w:sz w:val="24"/>
        </w:rPr>
        <w:t>(2318), 121646. https://doi.org/10.1016/j.techfore.2022.121646</w:t>
      </w:r>
    </w:p>
    <w:p w14:paraId="16B51DB5"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19" w:name="Karavitis"/>
      <w:r w:rsidRPr="0099292E">
        <w:rPr>
          <w:rFonts w:ascii="Times New Roman" w:hAnsi="Times New Roman" w:cs="Times New Roman"/>
          <w:noProof/>
          <w:sz w:val="24"/>
        </w:rPr>
        <w:t>Karavitis</w:t>
      </w:r>
      <w:bookmarkEnd w:id="19"/>
      <w:r w:rsidRPr="0099292E">
        <w:rPr>
          <w:rFonts w:ascii="Times New Roman" w:hAnsi="Times New Roman" w:cs="Times New Roman"/>
          <w:noProof/>
          <w:sz w:val="24"/>
        </w:rPr>
        <w:t xml:space="preserve">, P., Kazakis, P., &amp; Xu, T. (2025). Overconfident CEOs, corporate social responsibility, and tax avoidance: Evidence from China. </w:t>
      </w:r>
      <w:r w:rsidRPr="0099292E">
        <w:rPr>
          <w:rFonts w:ascii="Times New Roman" w:hAnsi="Times New Roman" w:cs="Times New Roman"/>
          <w:i/>
          <w:iCs/>
          <w:noProof/>
          <w:sz w:val="24"/>
        </w:rPr>
        <w:t>Journal of International Accounting, Auditing and Taxation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59</w:t>
      </w:r>
      <w:r w:rsidRPr="0099292E">
        <w:rPr>
          <w:rFonts w:ascii="Times New Roman" w:hAnsi="Times New Roman" w:cs="Times New Roman"/>
          <w:noProof/>
          <w:sz w:val="24"/>
        </w:rPr>
        <w:t>(May), 100702. https://doi.org/10.1016/j.intaccaudtax.2025.100702</w:t>
      </w:r>
    </w:p>
    <w:p w14:paraId="3D4166FB"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0" w:name="Kerr"/>
      <w:r w:rsidRPr="0099292E">
        <w:rPr>
          <w:rFonts w:ascii="Times New Roman" w:hAnsi="Times New Roman" w:cs="Times New Roman"/>
          <w:noProof/>
          <w:sz w:val="24"/>
        </w:rPr>
        <w:t>Kerr</w:t>
      </w:r>
      <w:bookmarkEnd w:id="20"/>
      <w:r w:rsidRPr="0099292E">
        <w:rPr>
          <w:rFonts w:ascii="Times New Roman" w:hAnsi="Times New Roman" w:cs="Times New Roman"/>
          <w:noProof/>
          <w:sz w:val="24"/>
        </w:rPr>
        <w:t xml:space="preserve">, J. N., Price, R., Román, F. J., &amp; Romney, M. A. (2024). Corporate governance and tax avoidance: Evidence from governance reform. </w:t>
      </w:r>
      <w:r w:rsidRPr="0099292E">
        <w:rPr>
          <w:rFonts w:ascii="Times New Roman" w:hAnsi="Times New Roman" w:cs="Times New Roman"/>
          <w:i/>
          <w:iCs/>
          <w:noProof/>
          <w:sz w:val="24"/>
        </w:rPr>
        <w:t>Journal of Accounting and Public Policy</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47</w:t>
      </w:r>
      <w:r w:rsidRPr="0099292E">
        <w:rPr>
          <w:rFonts w:ascii="Times New Roman" w:hAnsi="Times New Roman" w:cs="Times New Roman"/>
          <w:noProof/>
          <w:sz w:val="24"/>
        </w:rPr>
        <w:t>(August). https://doi.org/10.1016/j.jaccpubpol.2024.107232</w:t>
      </w:r>
    </w:p>
    <w:p w14:paraId="11187DB4" w14:textId="4F666FE3"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1" w:name="Kiryanto"/>
      <w:r w:rsidRPr="0099292E">
        <w:rPr>
          <w:rFonts w:ascii="Times New Roman" w:hAnsi="Times New Roman" w:cs="Times New Roman"/>
          <w:noProof/>
          <w:sz w:val="24"/>
        </w:rPr>
        <w:t>Kiryanto</w:t>
      </w:r>
      <w:bookmarkEnd w:id="21"/>
      <w:r w:rsidRPr="0099292E">
        <w:rPr>
          <w:rFonts w:ascii="Times New Roman" w:hAnsi="Times New Roman" w:cs="Times New Roman"/>
          <w:noProof/>
          <w:sz w:val="24"/>
        </w:rPr>
        <w:t xml:space="preserve">, Alfiana Rohmatika, </w:t>
      </w:r>
      <w:r w:rsidR="00205049">
        <w:rPr>
          <w:rFonts w:ascii="Times New Roman" w:hAnsi="Times New Roman" w:cs="Times New Roman"/>
          <w:noProof/>
          <w:sz w:val="24"/>
        </w:rPr>
        <w:t xml:space="preserve">&amp; Farikha Amilahaq. (2021). Is </w:t>
      </w:r>
      <w:r w:rsidR="00205049">
        <w:rPr>
          <w:rFonts w:ascii="Times New Roman" w:hAnsi="Times New Roman" w:cs="Times New Roman"/>
          <w:noProof/>
          <w:sz w:val="24"/>
          <w:lang w:val="id-ID"/>
        </w:rPr>
        <w:t>c</w:t>
      </w:r>
      <w:r w:rsidR="00205049">
        <w:rPr>
          <w:rFonts w:ascii="Times New Roman" w:hAnsi="Times New Roman" w:cs="Times New Roman"/>
          <w:noProof/>
          <w:sz w:val="24"/>
        </w:rPr>
        <w:t xml:space="preserve">orporate </w:t>
      </w:r>
      <w:r w:rsidR="00205049">
        <w:rPr>
          <w:rFonts w:ascii="Times New Roman" w:hAnsi="Times New Roman" w:cs="Times New Roman"/>
          <w:noProof/>
          <w:sz w:val="24"/>
          <w:lang w:val="id-ID"/>
        </w:rPr>
        <w:t>s</w:t>
      </w:r>
      <w:r w:rsidR="00205049">
        <w:rPr>
          <w:rFonts w:ascii="Times New Roman" w:hAnsi="Times New Roman" w:cs="Times New Roman"/>
          <w:noProof/>
          <w:sz w:val="24"/>
        </w:rPr>
        <w:t xml:space="preserve">ocial </w:t>
      </w:r>
      <w:r w:rsidR="00205049">
        <w:rPr>
          <w:rFonts w:ascii="Times New Roman" w:hAnsi="Times New Roman" w:cs="Times New Roman"/>
          <w:noProof/>
          <w:sz w:val="24"/>
          <w:lang w:val="id-ID"/>
        </w:rPr>
        <w:t>r</w:t>
      </w:r>
      <w:r w:rsidR="00205049">
        <w:rPr>
          <w:rFonts w:ascii="Times New Roman" w:hAnsi="Times New Roman" w:cs="Times New Roman"/>
          <w:noProof/>
          <w:sz w:val="24"/>
        </w:rPr>
        <w:t xml:space="preserve">esponsibility </w:t>
      </w:r>
      <w:r w:rsidR="00205049">
        <w:rPr>
          <w:rFonts w:ascii="Times New Roman" w:hAnsi="Times New Roman" w:cs="Times New Roman"/>
          <w:noProof/>
          <w:sz w:val="24"/>
          <w:lang w:val="id-ID"/>
        </w:rPr>
        <w:t>a</w:t>
      </w:r>
      <w:r w:rsidR="00205049">
        <w:rPr>
          <w:rFonts w:ascii="Times New Roman" w:hAnsi="Times New Roman" w:cs="Times New Roman"/>
          <w:noProof/>
          <w:sz w:val="24"/>
        </w:rPr>
        <w:t xml:space="preserve">ble to </w:t>
      </w:r>
      <w:r w:rsidR="00205049">
        <w:rPr>
          <w:rFonts w:ascii="Times New Roman" w:hAnsi="Times New Roman" w:cs="Times New Roman"/>
          <w:noProof/>
          <w:sz w:val="24"/>
          <w:lang w:val="id-ID"/>
        </w:rPr>
        <w:t>m</w:t>
      </w:r>
      <w:r w:rsidR="00205049">
        <w:rPr>
          <w:rFonts w:ascii="Times New Roman" w:hAnsi="Times New Roman" w:cs="Times New Roman"/>
          <w:noProof/>
          <w:sz w:val="24"/>
        </w:rPr>
        <w:t xml:space="preserve">ediate </w:t>
      </w:r>
      <w:r w:rsidR="00205049">
        <w:rPr>
          <w:rFonts w:ascii="Times New Roman" w:hAnsi="Times New Roman" w:cs="Times New Roman"/>
          <w:noProof/>
          <w:sz w:val="24"/>
          <w:lang w:val="id-ID"/>
        </w:rPr>
        <w:t>i</w:t>
      </w:r>
      <w:r w:rsidR="00205049">
        <w:rPr>
          <w:rFonts w:ascii="Times New Roman" w:hAnsi="Times New Roman" w:cs="Times New Roman"/>
          <w:noProof/>
          <w:sz w:val="24"/>
        </w:rPr>
        <w:t xml:space="preserve">ncreased </w:t>
      </w:r>
      <w:r w:rsidR="00205049">
        <w:rPr>
          <w:rFonts w:ascii="Times New Roman" w:hAnsi="Times New Roman" w:cs="Times New Roman"/>
          <w:noProof/>
          <w:sz w:val="24"/>
          <w:lang w:val="id-ID"/>
        </w:rPr>
        <w:t>t</w:t>
      </w:r>
      <w:r w:rsidR="00205049">
        <w:rPr>
          <w:rFonts w:ascii="Times New Roman" w:hAnsi="Times New Roman" w:cs="Times New Roman"/>
          <w:noProof/>
          <w:sz w:val="24"/>
        </w:rPr>
        <w:t xml:space="preserve">ax </w:t>
      </w:r>
      <w:r w:rsidR="00205049">
        <w:rPr>
          <w:rFonts w:ascii="Times New Roman" w:hAnsi="Times New Roman" w:cs="Times New Roman"/>
          <w:noProof/>
          <w:sz w:val="24"/>
          <w:lang w:val="id-ID"/>
        </w:rPr>
        <w:t>a</w:t>
      </w:r>
      <w:r w:rsidRPr="0099292E">
        <w:rPr>
          <w:rFonts w:ascii="Times New Roman" w:hAnsi="Times New Roman" w:cs="Times New Roman"/>
          <w:noProof/>
          <w:sz w:val="24"/>
        </w:rPr>
        <w:t xml:space="preserve">voidance? </w:t>
      </w:r>
      <w:r w:rsidRPr="0099292E">
        <w:rPr>
          <w:rFonts w:ascii="Times New Roman" w:hAnsi="Times New Roman" w:cs="Times New Roman"/>
          <w:i/>
          <w:iCs/>
          <w:noProof/>
          <w:sz w:val="24"/>
        </w:rPr>
        <w:t>Jurnal Reviu Akuntansi Dan Keuangan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11</w:t>
      </w:r>
      <w:r w:rsidRPr="0099292E">
        <w:rPr>
          <w:rFonts w:ascii="Times New Roman" w:hAnsi="Times New Roman" w:cs="Times New Roman"/>
          <w:noProof/>
          <w:sz w:val="24"/>
        </w:rPr>
        <w:t>(2), 346–365. https://doi.org/10.22219/jrak.v11i2.16470</w:t>
      </w:r>
    </w:p>
    <w:p w14:paraId="739B0D79"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2" w:name="Kovermann"/>
      <w:r w:rsidRPr="0099292E">
        <w:rPr>
          <w:rFonts w:ascii="Times New Roman" w:hAnsi="Times New Roman" w:cs="Times New Roman"/>
          <w:noProof/>
          <w:sz w:val="24"/>
        </w:rPr>
        <w:t>Kovermann</w:t>
      </w:r>
      <w:bookmarkEnd w:id="22"/>
      <w:r w:rsidRPr="0099292E">
        <w:rPr>
          <w:rFonts w:ascii="Times New Roman" w:hAnsi="Times New Roman" w:cs="Times New Roman"/>
          <w:noProof/>
          <w:sz w:val="24"/>
        </w:rPr>
        <w:t xml:space="preserve">, J., &amp; Velte, P. (2019). The impact of corporate governance on corporate tax avoidance—A literature review. </w:t>
      </w:r>
      <w:r w:rsidRPr="0099292E">
        <w:rPr>
          <w:rFonts w:ascii="Times New Roman" w:hAnsi="Times New Roman" w:cs="Times New Roman"/>
          <w:i/>
          <w:iCs/>
          <w:noProof/>
          <w:sz w:val="24"/>
        </w:rPr>
        <w:t>Journal of International Accounting, Auditing and Taxation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36</w:t>
      </w:r>
      <w:r w:rsidRPr="0099292E">
        <w:rPr>
          <w:rFonts w:ascii="Times New Roman" w:hAnsi="Times New Roman" w:cs="Times New Roman"/>
          <w:noProof/>
          <w:sz w:val="24"/>
        </w:rPr>
        <w:t>, 100270. https://doi.org/10.1016/j.intaccaudtax.2019.100270</w:t>
      </w:r>
    </w:p>
    <w:p w14:paraId="1E60C5CF" w14:textId="454B2E96"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3" w:name="Kusumadani"/>
      <w:r w:rsidRPr="0099292E">
        <w:rPr>
          <w:rFonts w:ascii="Times New Roman" w:hAnsi="Times New Roman" w:cs="Times New Roman"/>
          <w:noProof/>
          <w:sz w:val="24"/>
        </w:rPr>
        <w:t>Kusumadani</w:t>
      </w:r>
      <w:bookmarkEnd w:id="23"/>
      <w:r w:rsidRPr="0099292E">
        <w:rPr>
          <w:rFonts w:ascii="Times New Roman" w:hAnsi="Times New Roman" w:cs="Times New Roman"/>
          <w:noProof/>
          <w:sz w:val="24"/>
        </w:rPr>
        <w:t>, H., &amp; Rahay</w:t>
      </w:r>
      <w:r w:rsidR="00205049">
        <w:rPr>
          <w:rFonts w:ascii="Times New Roman" w:hAnsi="Times New Roman" w:cs="Times New Roman"/>
          <w:noProof/>
          <w:sz w:val="24"/>
        </w:rPr>
        <w:t xml:space="preserve">uningsih, D. A. (2023). Apakah </w:t>
      </w:r>
      <w:r w:rsidR="00205049">
        <w:rPr>
          <w:rFonts w:ascii="Times New Roman" w:hAnsi="Times New Roman" w:cs="Times New Roman"/>
          <w:noProof/>
          <w:sz w:val="24"/>
          <w:lang w:val="id-ID"/>
        </w:rPr>
        <w:t>k</w:t>
      </w:r>
      <w:r w:rsidR="00205049">
        <w:rPr>
          <w:rFonts w:ascii="Times New Roman" w:hAnsi="Times New Roman" w:cs="Times New Roman"/>
          <w:noProof/>
          <w:sz w:val="24"/>
        </w:rPr>
        <w:t xml:space="preserve">arakteristik </w:t>
      </w:r>
      <w:r w:rsidR="00205049">
        <w:rPr>
          <w:rFonts w:ascii="Times New Roman" w:hAnsi="Times New Roman" w:cs="Times New Roman"/>
          <w:noProof/>
          <w:sz w:val="24"/>
          <w:lang w:val="id-ID"/>
        </w:rPr>
        <w:t>p</w:t>
      </w:r>
      <w:r w:rsidR="00205049">
        <w:rPr>
          <w:rFonts w:ascii="Times New Roman" w:hAnsi="Times New Roman" w:cs="Times New Roman"/>
          <w:noProof/>
          <w:sz w:val="24"/>
        </w:rPr>
        <w:t xml:space="preserve">erusahaan </w:t>
      </w:r>
      <w:r w:rsidR="00205049">
        <w:rPr>
          <w:rFonts w:ascii="Times New Roman" w:hAnsi="Times New Roman" w:cs="Times New Roman"/>
          <w:noProof/>
          <w:sz w:val="24"/>
          <w:lang w:val="id-ID"/>
        </w:rPr>
        <w:t>d</w:t>
      </w:r>
      <w:r w:rsidR="00205049">
        <w:rPr>
          <w:rFonts w:ascii="Times New Roman" w:hAnsi="Times New Roman" w:cs="Times New Roman"/>
          <w:noProof/>
          <w:sz w:val="24"/>
        </w:rPr>
        <w:t xml:space="preserve">an </w:t>
      </w:r>
      <w:r w:rsidR="00205049">
        <w:rPr>
          <w:rFonts w:ascii="Times New Roman" w:hAnsi="Times New Roman" w:cs="Times New Roman"/>
          <w:noProof/>
          <w:sz w:val="24"/>
          <w:lang w:val="id-ID"/>
        </w:rPr>
        <w:t>a</w:t>
      </w:r>
      <w:r w:rsidR="00205049">
        <w:rPr>
          <w:rFonts w:ascii="Times New Roman" w:hAnsi="Times New Roman" w:cs="Times New Roman"/>
          <w:noProof/>
          <w:sz w:val="24"/>
        </w:rPr>
        <w:t xml:space="preserve">tribut </w:t>
      </w:r>
      <w:r w:rsidR="00205049">
        <w:rPr>
          <w:rFonts w:ascii="Times New Roman" w:hAnsi="Times New Roman" w:cs="Times New Roman"/>
          <w:noProof/>
          <w:sz w:val="24"/>
          <w:lang w:val="id-ID"/>
        </w:rPr>
        <w:t>a</w:t>
      </w:r>
      <w:r w:rsidR="00205049">
        <w:rPr>
          <w:rFonts w:ascii="Times New Roman" w:hAnsi="Times New Roman" w:cs="Times New Roman"/>
          <w:noProof/>
          <w:sz w:val="24"/>
        </w:rPr>
        <w:t xml:space="preserve">udit </w:t>
      </w:r>
      <w:r w:rsidR="00205049">
        <w:rPr>
          <w:rFonts w:ascii="Times New Roman" w:hAnsi="Times New Roman" w:cs="Times New Roman"/>
          <w:noProof/>
          <w:sz w:val="24"/>
          <w:lang w:val="id-ID"/>
        </w:rPr>
        <w:t>m</w:t>
      </w:r>
      <w:r w:rsidR="00205049">
        <w:rPr>
          <w:rFonts w:ascii="Times New Roman" w:hAnsi="Times New Roman" w:cs="Times New Roman"/>
          <w:noProof/>
          <w:sz w:val="24"/>
        </w:rPr>
        <w:t xml:space="preserve">emengaruhi </w:t>
      </w:r>
      <w:r w:rsidR="00205049">
        <w:rPr>
          <w:rFonts w:ascii="Times New Roman" w:hAnsi="Times New Roman" w:cs="Times New Roman"/>
          <w:noProof/>
          <w:sz w:val="24"/>
          <w:lang w:val="id-ID"/>
        </w:rPr>
        <w:t>t</w:t>
      </w:r>
      <w:r w:rsidR="00205049">
        <w:rPr>
          <w:rFonts w:ascii="Times New Roman" w:hAnsi="Times New Roman" w:cs="Times New Roman"/>
          <w:noProof/>
          <w:sz w:val="24"/>
        </w:rPr>
        <w:t xml:space="preserve">ax </w:t>
      </w:r>
      <w:r w:rsidR="00205049">
        <w:rPr>
          <w:rFonts w:ascii="Times New Roman" w:hAnsi="Times New Roman" w:cs="Times New Roman"/>
          <w:noProof/>
          <w:sz w:val="24"/>
          <w:lang w:val="id-ID"/>
        </w:rPr>
        <w:t>a</w:t>
      </w:r>
      <w:r w:rsidRPr="0099292E">
        <w:rPr>
          <w:rFonts w:ascii="Times New Roman" w:hAnsi="Times New Roman" w:cs="Times New Roman"/>
          <w:noProof/>
          <w:sz w:val="24"/>
        </w:rPr>
        <w:t xml:space="preserve">voidance? </w:t>
      </w:r>
      <w:r w:rsidRPr="0099292E">
        <w:rPr>
          <w:rFonts w:ascii="Times New Roman" w:hAnsi="Times New Roman" w:cs="Times New Roman"/>
          <w:i/>
          <w:iCs/>
          <w:noProof/>
          <w:sz w:val="24"/>
        </w:rPr>
        <w:t>Akurasi : Jurnal Studi Akuntansi Dan Keuangan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6</w:t>
      </w:r>
      <w:r w:rsidRPr="0099292E">
        <w:rPr>
          <w:rFonts w:ascii="Times New Roman" w:hAnsi="Times New Roman" w:cs="Times New Roman"/>
          <w:noProof/>
          <w:sz w:val="24"/>
        </w:rPr>
        <w:t>(1), 55–72. https://doi.org/10.29303/akurasi.v6i1.332</w:t>
      </w:r>
    </w:p>
    <w:p w14:paraId="01914A94"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4" w:name="Li"/>
      <w:r w:rsidRPr="0099292E">
        <w:rPr>
          <w:rFonts w:ascii="Times New Roman" w:hAnsi="Times New Roman" w:cs="Times New Roman"/>
          <w:noProof/>
          <w:sz w:val="24"/>
        </w:rPr>
        <w:t>Li</w:t>
      </w:r>
      <w:bookmarkEnd w:id="24"/>
      <w:r w:rsidRPr="0099292E">
        <w:rPr>
          <w:rFonts w:ascii="Times New Roman" w:hAnsi="Times New Roman" w:cs="Times New Roman"/>
          <w:noProof/>
          <w:sz w:val="24"/>
        </w:rPr>
        <w:t xml:space="preserve">, Y., Gong, M., Zhang, X. Y., &amp; Koh, L. (2018). The impact of environmental, social, and governance disclosure on firm value: The role of CEO power. </w:t>
      </w:r>
      <w:r w:rsidRPr="0099292E">
        <w:rPr>
          <w:rFonts w:ascii="Times New Roman" w:hAnsi="Times New Roman" w:cs="Times New Roman"/>
          <w:i/>
          <w:iCs/>
          <w:noProof/>
          <w:sz w:val="24"/>
        </w:rPr>
        <w:t>British Accounting Review</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50</w:t>
      </w:r>
      <w:r w:rsidRPr="0099292E">
        <w:rPr>
          <w:rFonts w:ascii="Times New Roman" w:hAnsi="Times New Roman" w:cs="Times New Roman"/>
          <w:noProof/>
          <w:sz w:val="24"/>
        </w:rPr>
        <w:t>(1), 60–75. https://doi.org/10.1016/j.bar.2017.09.007</w:t>
      </w:r>
    </w:p>
    <w:p w14:paraId="3DE6C1F8" w14:textId="2E691B89"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5" w:name="Mawlidy"/>
      <w:r w:rsidRPr="0099292E">
        <w:rPr>
          <w:rFonts w:ascii="Times New Roman" w:hAnsi="Times New Roman" w:cs="Times New Roman"/>
          <w:noProof/>
          <w:sz w:val="24"/>
        </w:rPr>
        <w:t>Mawlidy</w:t>
      </w:r>
      <w:bookmarkEnd w:id="25"/>
      <w:r w:rsidRPr="0099292E">
        <w:rPr>
          <w:rFonts w:ascii="Times New Roman" w:hAnsi="Times New Roman" w:cs="Times New Roman"/>
          <w:noProof/>
          <w:sz w:val="24"/>
        </w:rPr>
        <w:t xml:space="preserve">, E. R., Dio, R., &amp; Lorensa, L. (2024). </w:t>
      </w:r>
      <w:r w:rsidR="00B46924" w:rsidRPr="0099292E">
        <w:rPr>
          <w:rFonts w:ascii="Times New Roman" w:hAnsi="Times New Roman" w:cs="Times New Roman"/>
          <w:noProof/>
          <w:sz w:val="24"/>
        </w:rPr>
        <w:t>Kemampuan Artific</w:t>
      </w:r>
      <w:r w:rsidR="009D7FF5">
        <w:rPr>
          <w:rFonts w:ascii="Times New Roman" w:hAnsi="Times New Roman" w:cs="Times New Roman"/>
          <w:noProof/>
          <w:sz w:val="24"/>
        </w:rPr>
        <w:t>i</w:t>
      </w:r>
      <w:r w:rsidR="00B46924" w:rsidRPr="0099292E">
        <w:rPr>
          <w:rFonts w:ascii="Times New Roman" w:hAnsi="Times New Roman" w:cs="Times New Roman"/>
          <w:noProof/>
          <w:sz w:val="24"/>
        </w:rPr>
        <w:t xml:space="preserve">al Intelligence </w:t>
      </w:r>
      <w:r w:rsidR="00205049">
        <w:rPr>
          <w:rFonts w:ascii="Times New Roman" w:hAnsi="Times New Roman" w:cs="Times New Roman"/>
          <w:noProof/>
          <w:sz w:val="24"/>
          <w:lang w:val="id-ID"/>
        </w:rPr>
        <w:t>t</w:t>
      </w:r>
      <w:r w:rsidR="00205049">
        <w:rPr>
          <w:rFonts w:ascii="Times New Roman" w:hAnsi="Times New Roman" w:cs="Times New Roman"/>
          <w:noProof/>
          <w:sz w:val="24"/>
        </w:rPr>
        <w:t xml:space="preserve">erhadap </w:t>
      </w:r>
      <w:r w:rsidR="00205049">
        <w:rPr>
          <w:rFonts w:ascii="Times New Roman" w:hAnsi="Times New Roman" w:cs="Times New Roman"/>
          <w:noProof/>
          <w:sz w:val="24"/>
          <w:lang w:val="id-ID"/>
        </w:rPr>
        <w:t>p</w:t>
      </w:r>
      <w:r w:rsidR="00205049">
        <w:rPr>
          <w:rFonts w:ascii="Times New Roman" w:hAnsi="Times New Roman" w:cs="Times New Roman"/>
          <w:noProof/>
          <w:sz w:val="24"/>
        </w:rPr>
        <w:t xml:space="preserve">endeteksian </w:t>
      </w:r>
      <w:r w:rsidR="00205049">
        <w:rPr>
          <w:rFonts w:ascii="Times New Roman" w:hAnsi="Times New Roman" w:cs="Times New Roman"/>
          <w:noProof/>
          <w:sz w:val="24"/>
          <w:lang w:val="id-ID"/>
        </w:rPr>
        <w:t>f</w:t>
      </w:r>
      <w:r w:rsidR="00B46924" w:rsidRPr="0099292E">
        <w:rPr>
          <w:rFonts w:ascii="Times New Roman" w:hAnsi="Times New Roman" w:cs="Times New Roman"/>
          <w:noProof/>
          <w:sz w:val="24"/>
        </w:rPr>
        <w:t>raud: Studi Literatur</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Akurasi : Jurnal Studi Akuntansi Dan Keuangan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7</w:t>
      </w:r>
      <w:r w:rsidRPr="0099292E">
        <w:rPr>
          <w:rFonts w:ascii="Times New Roman" w:hAnsi="Times New Roman" w:cs="Times New Roman"/>
          <w:noProof/>
          <w:sz w:val="24"/>
        </w:rPr>
        <w:t>(1), 89–104. https://doi.org/10.29303/akurasi.v7i1.488</w:t>
      </w:r>
    </w:p>
    <w:p w14:paraId="58AC1565" w14:textId="3510651A"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6" w:name="Nerantzidis"/>
      <w:r w:rsidRPr="0099292E">
        <w:rPr>
          <w:rFonts w:ascii="Times New Roman" w:hAnsi="Times New Roman" w:cs="Times New Roman"/>
          <w:noProof/>
          <w:sz w:val="24"/>
        </w:rPr>
        <w:t>Nerantzidis</w:t>
      </w:r>
      <w:bookmarkEnd w:id="26"/>
      <w:r w:rsidRPr="0099292E">
        <w:rPr>
          <w:rFonts w:ascii="Times New Roman" w:hAnsi="Times New Roman" w:cs="Times New Roman"/>
          <w:noProof/>
          <w:sz w:val="24"/>
        </w:rPr>
        <w:t>, M., Persakis, A., &amp; Tzerem</w:t>
      </w:r>
      <w:r w:rsidR="00205049">
        <w:rPr>
          <w:rFonts w:ascii="Times New Roman" w:hAnsi="Times New Roman" w:cs="Times New Roman"/>
          <w:noProof/>
          <w:sz w:val="24"/>
        </w:rPr>
        <w:t xml:space="preserve">es, P. (2024). Development and </w:t>
      </w:r>
      <w:r w:rsidR="00205049">
        <w:rPr>
          <w:rFonts w:ascii="Times New Roman" w:hAnsi="Times New Roman" w:cs="Times New Roman"/>
          <w:noProof/>
          <w:sz w:val="24"/>
          <w:lang w:val="id-ID"/>
        </w:rPr>
        <w:t>s</w:t>
      </w:r>
      <w:r w:rsidR="00205049">
        <w:rPr>
          <w:rFonts w:ascii="Times New Roman" w:hAnsi="Times New Roman" w:cs="Times New Roman"/>
          <w:noProof/>
          <w:sz w:val="24"/>
        </w:rPr>
        <w:t xml:space="preserve">ustainability in </w:t>
      </w:r>
      <w:r w:rsidR="00205049">
        <w:rPr>
          <w:rFonts w:ascii="Times New Roman" w:hAnsi="Times New Roman" w:cs="Times New Roman"/>
          <w:noProof/>
          <w:sz w:val="24"/>
          <w:lang w:val="id-ID"/>
        </w:rPr>
        <w:t>e</w:t>
      </w:r>
      <w:r w:rsidR="00205049">
        <w:rPr>
          <w:rFonts w:ascii="Times New Roman" w:hAnsi="Times New Roman" w:cs="Times New Roman"/>
          <w:noProof/>
          <w:sz w:val="24"/>
        </w:rPr>
        <w:t xml:space="preserve">conomics and </w:t>
      </w:r>
      <w:r w:rsidR="00205049">
        <w:rPr>
          <w:rFonts w:ascii="Times New Roman" w:hAnsi="Times New Roman" w:cs="Times New Roman"/>
          <w:noProof/>
          <w:sz w:val="24"/>
          <w:lang w:val="id-ID"/>
        </w:rPr>
        <w:t>f</w:t>
      </w:r>
      <w:r w:rsidRPr="0099292E">
        <w:rPr>
          <w:rFonts w:ascii="Times New Roman" w:hAnsi="Times New Roman" w:cs="Times New Roman"/>
          <w:noProof/>
          <w:sz w:val="24"/>
        </w:rPr>
        <w:t>inance</w:t>
      </w:r>
      <w:r w:rsidR="009D7FF5">
        <w:rPr>
          <w:rFonts w:ascii="Times New Roman" w:hAnsi="Times New Roman" w:cs="Times New Roman"/>
          <w:noProof/>
          <w:sz w:val="24"/>
        </w:rPr>
        <w:t>:</w:t>
      </w:r>
      <w:r w:rsidRPr="0099292E">
        <w:rPr>
          <w:rFonts w:ascii="Times New Roman" w:hAnsi="Times New Roman" w:cs="Times New Roman"/>
          <w:noProof/>
          <w:sz w:val="24"/>
        </w:rPr>
        <w:t xml:space="preserve"> Tax avoidance, CSR performance</w:t>
      </w:r>
      <w:r w:rsidR="009D7FF5">
        <w:rPr>
          <w:rFonts w:ascii="Times New Roman" w:hAnsi="Times New Roman" w:cs="Times New Roman"/>
          <w:noProof/>
          <w:sz w:val="24"/>
        </w:rPr>
        <w:t>,</w:t>
      </w:r>
      <w:r w:rsidR="00205049">
        <w:rPr>
          <w:rFonts w:ascii="Times New Roman" w:hAnsi="Times New Roman" w:cs="Times New Roman"/>
          <w:noProof/>
          <w:sz w:val="24"/>
        </w:rPr>
        <w:t xml:space="preserve"> and CEO characteristics</w:t>
      </w:r>
      <w:r w:rsidRPr="0099292E">
        <w:rPr>
          <w:rFonts w:ascii="Times New Roman" w:hAnsi="Times New Roman" w:cs="Times New Roman"/>
          <w:noProof/>
          <w:sz w:val="24"/>
        </w:rPr>
        <w:t xml:space="preserve">: Evidence from developed and developing countries. </w:t>
      </w:r>
      <w:r w:rsidRPr="0099292E">
        <w:rPr>
          <w:rFonts w:ascii="Times New Roman" w:hAnsi="Times New Roman" w:cs="Times New Roman"/>
          <w:i/>
          <w:iCs/>
          <w:noProof/>
          <w:sz w:val="24"/>
        </w:rPr>
        <w:t>Development and Sustainability in Economics and Finance</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2</w:t>
      </w:r>
      <w:r w:rsidRPr="0099292E">
        <w:rPr>
          <w:rFonts w:ascii="Times New Roman" w:hAnsi="Times New Roman" w:cs="Times New Roman"/>
          <w:noProof/>
          <w:sz w:val="24"/>
        </w:rPr>
        <w:t>–</w:t>
      </w:r>
      <w:r w:rsidRPr="0099292E">
        <w:rPr>
          <w:rFonts w:ascii="Times New Roman" w:hAnsi="Times New Roman" w:cs="Times New Roman"/>
          <w:i/>
          <w:iCs/>
          <w:noProof/>
          <w:sz w:val="24"/>
        </w:rPr>
        <w:t>4</w:t>
      </w:r>
      <w:r w:rsidRPr="0099292E">
        <w:rPr>
          <w:rFonts w:ascii="Times New Roman" w:hAnsi="Times New Roman" w:cs="Times New Roman"/>
          <w:noProof/>
          <w:sz w:val="24"/>
        </w:rPr>
        <w:t>(July). https://doi.org/10.1016/j.dsef.2024.100021</w:t>
      </w:r>
    </w:p>
    <w:p w14:paraId="5CBDA1E0"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7" w:name="Nurwanah"/>
      <w:r w:rsidRPr="0099292E">
        <w:rPr>
          <w:rFonts w:ascii="Times New Roman" w:hAnsi="Times New Roman" w:cs="Times New Roman"/>
          <w:noProof/>
          <w:sz w:val="24"/>
        </w:rPr>
        <w:t>Nurwanah</w:t>
      </w:r>
      <w:bookmarkEnd w:id="27"/>
      <w:r w:rsidRPr="0099292E">
        <w:rPr>
          <w:rFonts w:ascii="Times New Roman" w:hAnsi="Times New Roman" w:cs="Times New Roman"/>
          <w:noProof/>
          <w:sz w:val="24"/>
        </w:rPr>
        <w:t xml:space="preserve">, A., Sutrisno, T., Rosidi, R., &amp; Roekhudin, R. (2018). Determinants of tax compliance: Theory of planned behavior and stakeholder theory perspective. </w:t>
      </w:r>
      <w:r w:rsidRPr="0099292E">
        <w:rPr>
          <w:rFonts w:ascii="Times New Roman" w:hAnsi="Times New Roman" w:cs="Times New Roman"/>
          <w:i/>
          <w:iCs/>
          <w:noProof/>
          <w:sz w:val="24"/>
        </w:rPr>
        <w:lastRenderedPageBreak/>
        <w:t>Problems and Perspectives in Management</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16</w:t>
      </w:r>
      <w:r w:rsidRPr="0099292E">
        <w:rPr>
          <w:rFonts w:ascii="Times New Roman" w:hAnsi="Times New Roman" w:cs="Times New Roman"/>
          <w:noProof/>
          <w:sz w:val="24"/>
        </w:rPr>
        <w:t>(4), 395–407. https://doi.org/10.21511/ppm.16(4).2018.33</w:t>
      </w:r>
    </w:p>
    <w:p w14:paraId="71F7F493" w14:textId="5D03C1EF"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8" w:name="OECD"/>
      <w:r w:rsidRPr="0099292E">
        <w:rPr>
          <w:rFonts w:ascii="Times New Roman" w:hAnsi="Times New Roman" w:cs="Times New Roman"/>
          <w:noProof/>
          <w:sz w:val="24"/>
        </w:rPr>
        <w:t>OECD</w:t>
      </w:r>
      <w:bookmarkEnd w:id="28"/>
      <w:r w:rsidRPr="0099292E">
        <w:rPr>
          <w:rFonts w:ascii="Times New Roman" w:hAnsi="Times New Roman" w:cs="Times New Roman"/>
          <w:noProof/>
          <w:sz w:val="24"/>
        </w:rPr>
        <w:t>. (2023). Revenue Statistics in Asia and the Pacific 2023 ─ Indonesia</w:t>
      </w:r>
      <w:r w:rsidR="009D7FF5">
        <w:rPr>
          <w:rFonts w:ascii="Times New Roman" w:hAnsi="Times New Roman" w:cs="Times New Roman"/>
          <w:noProof/>
          <w:sz w:val="24"/>
        </w:rPr>
        <w:t>:</w:t>
      </w:r>
      <w:r w:rsidRPr="0099292E">
        <w:rPr>
          <w:rFonts w:ascii="Times New Roman" w:hAnsi="Times New Roman" w:cs="Times New Roman"/>
          <w:noProof/>
          <w:sz w:val="24"/>
        </w:rPr>
        <w:t xml:space="preserve"> Tax-to-GDP ratio</w:t>
      </w:r>
      <w:r w:rsidR="009D7FF5">
        <w:rPr>
          <w:rFonts w:ascii="Times New Roman" w:hAnsi="Times New Roman" w:cs="Times New Roman"/>
          <w:noProof/>
          <w:sz w:val="24"/>
        </w:rPr>
        <w:t>,</w:t>
      </w:r>
      <w:r w:rsidR="00205049">
        <w:rPr>
          <w:rFonts w:ascii="Times New Roman" w:hAnsi="Times New Roman" w:cs="Times New Roman"/>
          <w:noProof/>
          <w:sz w:val="24"/>
        </w:rPr>
        <w:t xml:space="preserve"> </w:t>
      </w:r>
      <w:r w:rsidR="00205049">
        <w:rPr>
          <w:rFonts w:ascii="Times New Roman" w:hAnsi="Times New Roman" w:cs="Times New Roman"/>
          <w:noProof/>
          <w:sz w:val="24"/>
          <w:lang w:val="id-ID"/>
        </w:rPr>
        <w:t>t</w:t>
      </w:r>
      <w:r w:rsidRPr="0099292E">
        <w:rPr>
          <w:rFonts w:ascii="Times New Roman" w:hAnsi="Times New Roman" w:cs="Times New Roman"/>
          <w:noProof/>
          <w:sz w:val="24"/>
        </w:rPr>
        <w:t>ax structures</w:t>
      </w:r>
      <w:r w:rsidR="009D7FF5">
        <w:rPr>
          <w:rFonts w:ascii="Times New Roman" w:hAnsi="Times New Roman" w:cs="Times New Roman"/>
          <w:noProof/>
          <w:sz w:val="24"/>
        </w:rPr>
        <w:t>,</w:t>
      </w:r>
      <w:r w:rsidR="00205049">
        <w:rPr>
          <w:rFonts w:ascii="Times New Roman" w:hAnsi="Times New Roman" w:cs="Times New Roman"/>
          <w:noProof/>
          <w:sz w:val="24"/>
        </w:rPr>
        <w:t xml:space="preserve"> </w:t>
      </w:r>
      <w:r w:rsidR="00205049">
        <w:rPr>
          <w:rFonts w:ascii="Times New Roman" w:hAnsi="Times New Roman" w:cs="Times New Roman"/>
          <w:noProof/>
          <w:sz w:val="24"/>
          <w:lang w:val="id-ID"/>
        </w:rPr>
        <w:t>p</w:t>
      </w:r>
      <w:r w:rsidRPr="0099292E">
        <w:rPr>
          <w:rFonts w:ascii="Times New Roman" w:hAnsi="Times New Roman" w:cs="Times New Roman"/>
          <w:noProof/>
          <w:sz w:val="24"/>
        </w:rPr>
        <w:t>ersonal income tax</w:t>
      </w:r>
      <w:r w:rsidR="009D7FF5">
        <w:rPr>
          <w:rFonts w:ascii="Times New Roman" w:hAnsi="Times New Roman" w:cs="Times New Roman"/>
          <w:noProof/>
          <w:sz w:val="24"/>
        </w:rPr>
        <w:t>,</w:t>
      </w:r>
      <w:r w:rsidR="00205049">
        <w:rPr>
          <w:rFonts w:ascii="Times New Roman" w:hAnsi="Times New Roman" w:cs="Times New Roman"/>
          <w:noProof/>
          <w:sz w:val="24"/>
        </w:rPr>
        <w:t xml:space="preserve"> </w:t>
      </w:r>
      <w:r w:rsidR="00205049">
        <w:rPr>
          <w:rFonts w:ascii="Times New Roman" w:hAnsi="Times New Roman" w:cs="Times New Roman"/>
          <w:noProof/>
          <w:sz w:val="24"/>
          <w:lang w:val="id-ID"/>
        </w:rPr>
        <w:t>s</w:t>
      </w:r>
      <w:r w:rsidRPr="0099292E">
        <w:rPr>
          <w:rFonts w:ascii="Times New Roman" w:hAnsi="Times New Roman" w:cs="Times New Roman"/>
          <w:noProof/>
          <w:sz w:val="24"/>
        </w:rPr>
        <w:t>ocial security contributions</w:t>
      </w:r>
      <w:r w:rsidR="009D7FF5">
        <w:rPr>
          <w:rFonts w:ascii="Times New Roman" w:hAnsi="Times New Roman" w:cs="Times New Roman"/>
          <w:noProof/>
          <w:sz w:val="24"/>
        </w:rPr>
        <w:t>,</w:t>
      </w:r>
      <w:r w:rsidR="00205049">
        <w:rPr>
          <w:rFonts w:ascii="Times New Roman" w:hAnsi="Times New Roman" w:cs="Times New Roman"/>
          <w:noProof/>
          <w:sz w:val="24"/>
        </w:rPr>
        <w:t xml:space="preserve"> </w:t>
      </w:r>
      <w:r w:rsidR="00205049">
        <w:rPr>
          <w:rFonts w:ascii="Times New Roman" w:hAnsi="Times New Roman" w:cs="Times New Roman"/>
          <w:noProof/>
          <w:sz w:val="24"/>
          <w:lang w:val="id-ID"/>
        </w:rPr>
        <w:t>v</w:t>
      </w:r>
      <w:r w:rsidR="00205049">
        <w:rPr>
          <w:rFonts w:ascii="Times New Roman" w:hAnsi="Times New Roman" w:cs="Times New Roman"/>
          <w:noProof/>
          <w:sz w:val="24"/>
        </w:rPr>
        <w:t>alue added taxes/</w:t>
      </w:r>
      <w:r w:rsidR="00205049">
        <w:rPr>
          <w:rFonts w:ascii="Times New Roman" w:hAnsi="Times New Roman" w:cs="Times New Roman"/>
          <w:noProof/>
          <w:sz w:val="24"/>
          <w:lang w:val="id-ID"/>
        </w:rPr>
        <w:t>g</w:t>
      </w:r>
      <w:r w:rsidRPr="0099292E">
        <w:rPr>
          <w:rFonts w:ascii="Times New Roman" w:hAnsi="Times New Roman" w:cs="Times New Roman"/>
          <w:noProof/>
          <w:sz w:val="24"/>
        </w:rPr>
        <w:t>oods and services tax</w:t>
      </w:r>
      <w:r w:rsidR="009D7FF5">
        <w:rPr>
          <w:rFonts w:ascii="Times New Roman" w:hAnsi="Times New Roman" w:cs="Times New Roman"/>
          <w:noProof/>
          <w:sz w:val="24"/>
        </w:rPr>
        <w:t>,</w:t>
      </w:r>
      <w:r w:rsidR="00205049">
        <w:rPr>
          <w:rFonts w:ascii="Times New Roman" w:hAnsi="Times New Roman" w:cs="Times New Roman"/>
          <w:noProof/>
          <w:sz w:val="24"/>
        </w:rPr>
        <w:t xml:space="preserve"> </w:t>
      </w:r>
      <w:r w:rsidR="00205049">
        <w:rPr>
          <w:rFonts w:ascii="Times New Roman" w:hAnsi="Times New Roman" w:cs="Times New Roman"/>
          <w:noProof/>
          <w:sz w:val="24"/>
          <w:lang w:val="id-ID"/>
        </w:rPr>
        <w:t>o</w:t>
      </w:r>
      <w:r w:rsidRPr="0099292E">
        <w:rPr>
          <w:rFonts w:ascii="Times New Roman" w:hAnsi="Times New Roman" w:cs="Times New Roman"/>
          <w:noProof/>
          <w:sz w:val="24"/>
        </w:rPr>
        <w:t xml:space="preserve">ther taxes on goods and services. </w:t>
      </w:r>
      <w:r w:rsidRPr="0099292E">
        <w:rPr>
          <w:rFonts w:ascii="Times New Roman" w:hAnsi="Times New Roman" w:cs="Times New Roman"/>
          <w:i/>
          <w:iCs/>
          <w:noProof/>
          <w:sz w:val="24"/>
        </w:rPr>
        <w:t>O</w:t>
      </w:r>
      <w:r w:rsidR="009D7FF5">
        <w:rPr>
          <w:rFonts w:ascii="Times New Roman" w:hAnsi="Times New Roman" w:cs="Times New Roman"/>
          <w:i/>
          <w:iCs/>
          <w:noProof/>
          <w:sz w:val="24"/>
        </w:rPr>
        <w:t>ECD</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29</w:t>
      </w:r>
      <w:r w:rsidRPr="0099292E">
        <w:rPr>
          <w:rFonts w:ascii="Times New Roman" w:hAnsi="Times New Roman" w:cs="Times New Roman"/>
          <w:noProof/>
          <w:sz w:val="24"/>
        </w:rPr>
        <w:t>, 8–9.</w:t>
      </w:r>
    </w:p>
    <w:p w14:paraId="506EA250" w14:textId="19FF53DB"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29" w:name="Palalangan"/>
      <w:r w:rsidRPr="0099292E">
        <w:rPr>
          <w:rFonts w:ascii="Times New Roman" w:hAnsi="Times New Roman" w:cs="Times New Roman"/>
          <w:noProof/>
          <w:sz w:val="24"/>
        </w:rPr>
        <w:t>Palalangan</w:t>
      </w:r>
      <w:bookmarkEnd w:id="29"/>
      <w:r w:rsidRPr="0099292E">
        <w:rPr>
          <w:rFonts w:ascii="Times New Roman" w:hAnsi="Times New Roman" w:cs="Times New Roman"/>
          <w:noProof/>
          <w:sz w:val="24"/>
        </w:rPr>
        <w:t>, C. A., Mannan, A., Rura, Y., &amp; Pontoh,</w:t>
      </w:r>
      <w:r w:rsidR="00205049">
        <w:rPr>
          <w:rFonts w:ascii="Times New Roman" w:hAnsi="Times New Roman" w:cs="Times New Roman"/>
          <w:noProof/>
          <w:sz w:val="24"/>
        </w:rPr>
        <w:t xml:space="preserve"> G. T. (2024). Determinants of </w:t>
      </w:r>
      <w:r w:rsidR="00205049">
        <w:rPr>
          <w:rFonts w:ascii="Times New Roman" w:hAnsi="Times New Roman" w:cs="Times New Roman"/>
          <w:noProof/>
          <w:sz w:val="24"/>
          <w:lang w:val="id-ID"/>
        </w:rPr>
        <w:t>t</w:t>
      </w:r>
      <w:r w:rsidR="00205049">
        <w:rPr>
          <w:rFonts w:ascii="Times New Roman" w:hAnsi="Times New Roman" w:cs="Times New Roman"/>
          <w:noProof/>
          <w:sz w:val="24"/>
        </w:rPr>
        <w:t xml:space="preserve">ax </w:t>
      </w:r>
      <w:r w:rsidR="00205049">
        <w:rPr>
          <w:rFonts w:ascii="Times New Roman" w:hAnsi="Times New Roman" w:cs="Times New Roman"/>
          <w:noProof/>
          <w:sz w:val="24"/>
          <w:lang w:val="id-ID"/>
        </w:rPr>
        <w:t>a</w:t>
      </w:r>
      <w:r w:rsidR="00205049">
        <w:rPr>
          <w:rFonts w:ascii="Times New Roman" w:hAnsi="Times New Roman" w:cs="Times New Roman"/>
          <w:noProof/>
          <w:sz w:val="24"/>
        </w:rPr>
        <w:t xml:space="preserve">ggressiveness </w:t>
      </w:r>
      <w:r w:rsidR="00205049">
        <w:rPr>
          <w:rFonts w:ascii="Times New Roman" w:hAnsi="Times New Roman" w:cs="Times New Roman"/>
          <w:noProof/>
          <w:sz w:val="24"/>
          <w:lang w:val="id-ID"/>
        </w:rPr>
        <w:t>w</w:t>
      </w:r>
      <w:r w:rsidR="00205049">
        <w:rPr>
          <w:rFonts w:ascii="Times New Roman" w:hAnsi="Times New Roman" w:cs="Times New Roman"/>
          <w:noProof/>
          <w:sz w:val="24"/>
        </w:rPr>
        <w:t xml:space="preserve">ith </w:t>
      </w:r>
      <w:r w:rsidR="00205049">
        <w:rPr>
          <w:rFonts w:ascii="Times New Roman" w:hAnsi="Times New Roman" w:cs="Times New Roman"/>
          <w:noProof/>
          <w:sz w:val="24"/>
          <w:lang w:val="id-ID"/>
        </w:rPr>
        <w:t>c</w:t>
      </w:r>
      <w:r w:rsidR="00205049">
        <w:rPr>
          <w:rFonts w:ascii="Times New Roman" w:hAnsi="Times New Roman" w:cs="Times New Roman"/>
          <w:noProof/>
          <w:sz w:val="24"/>
        </w:rPr>
        <w:t xml:space="preserve">orporate </w:t>
      </w:r>
      <w:r w:rsidR="00205049">
        <w:rPr>
          <w:rFonts w:ascii="Times New Roman" w:hAnsi="Times New Roman" w:cs="Times New Roman"/>
          <w:noProof/>
          <w:sz w:val="24"/>
          <w:lang w:val="id-ID"/>
        </w:rPr>
        <w:t>g</w:t>
      </w:r>
      <w:r w:rsidRPr="0099292E">
        <w:rPr>
          <w:rFonts w:ascii="Times New Roman" w:hAnsi="Times New Roman" w:cs="Times New Roman"/>
          <w:noProof/>
          <w:sz w:val="24"/>
        </w:rPr>
        <w:t xml:space="preserve">overnance </w:t>
      </w:r>
      <w:r w:rsidR="00205049">
        <w:rPr>
          <w:rFonts w:ascii="Times New Roman" w:hAnsi="Times New Roman" w:cs="Times New Roman"/>
          <w:noProof/>
          <w:sz w:val="24"/>
          <w:lang w:val="id-ID"/>
        </w:rPr>
        <w:t>a</w:t>
      </w:r>
      <w:r w:rsidR="00205049">
        <w:rPr>
          <w:rFonts w:ascii="Times New Roman" w:hAnsi="Times New Roman" w:cs="Times New Roman"/>
          <w:noProof/>
          <w:sz w:val="24"/>
        </w:rPr>
        <w:t xml:space="preserve">s a </w:t>
      </w:r>
      <w:r w:rsidR="00205049">
        <w:rPr>
          <w:rFonts w:ascii="Times New Roman" w:hAnsi="Times New Roman" w:cs="Times New Roman"/>
          <w:noProof/>
          <w:sz w:val="24"/>
          <w:lang w:val="id-ID"/>
        </w:rPr>
        <w:t>m</w:t>
      </w:r>
      <w:r w:rsidR="00205049">
        <w:rPr>
          <w:rFonts w:ascii="Times New Roman" w:hAnsi="Times New Roman" w:cs="Times New Roman"/>
          <w:noProof/>
          <w:sz w:val="24"/>
        </w:rPr>
        <w:t xml:space="preserve">oderation </w:t>
      </w:r>
      <w:r w:rsidR="00205049">
        <w:rPr>
          <w:rFonts w:ascii="Times New Roman" w:hAnsi="Times New Roman" w:cs="Times New Roman"/>
          <w:noProof/>
          <w:sz w:val="24"/>
          <w:lang w:val="id-ID"/>
        </w:rPr>
        <w:t>v</w:t>
      </w:r>
      <w:r w:rsidR="00205049">
        <w:rPr>
          <w:rFonts w:ascii="Times New Roman" w:hAnsi="Times New Roman" w:cs="Times New Roman"/>
          <w:noProof/>
          <w:sz w:val="24"/>
        </w:rPr>
        <w:t xml:space="preserve">ariable in </w:t>
      </w:r>
      <w:r w:rsidR="00205049">
        <w:rPr>
          <w:rFonts w:ascii="Times New Roman" w:hAnsi="Times New Roman" w:cs="Times New Roman"/>
          <w:noProof/>
          <w:sz w:val="24"/>
          <w:lang w:val="id-ID"/>
        </w:rPr>
        <w:t>p</w:t>
      </w:r>
      <w:r w:rsidR="00205049">
        <w:rPr>
          <w:rFonts w:ascii="Times New Roman" w:hAnsi="Times New Roman" w:cs="Times New Roman"/>
          <w:noProof/>
          <w:sz w:val="24"/>
        </w:rPr>
        <w:t xml:space="preserve">ublic </w:t>
      </w:r>
      <w:r w:rsidR="00205049">
        <w:rPr>
          <w:rFonts w:ascii="Times New Roman" w:hAnsi="Times New Roman" w:cs="Times New Roman"/>
          <w:noProof/>
          <w:sz w:val="24"/>
          <w:lang w:val="id-ID"/>
        </w:rPr>
        <w:t>c</w:t>
      </w:r>
      <w:r w:rsidRPr="0099292E">
        <w:rPr>
          <w:rFonts w:ascii="Times New Roman" w:hAnsi="Times New Roman" w:cs="Times New Roman"/>
          <w:noProof/>
          <w:sz w:val="24"/>
        </w:rPr>
        <w:t xml:space="preserve">ompanies in Indonesia. </w:t>
      </w:r>
      <w:r w:rsidRPr="0099292E">
        <w:rPr>
          <w:rFonts w:ascii="Times New Roman" w:hAnsi="Times New Roman" w:cs="Times New Roman"/>
          <w:i/>
          <w:iCs/>
          <w:noProof/>
          <w:sz w:val="24"/>
        </w:rPr>
        <w:t>Financial and Credit Activity: Problems of Theory and Practice</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5</w:t>
      </w:r>
      <w:r w:rsidRPr="0099292E">
        <w:rPr>
          <w:rFonts w:ascii="Times New Roman" w:hAnsi="Times New Roman" w:cs="Times New Roman"/>
          <w:noProof/>
          <w:sz w:val="24"/>
        </w:rPr>
        <w:t>(58), 97–110. https://doi.org/10.55643/fcaptp.5.58.2024.4516</w:t>
      </w:r>
    </w:p>
    <w:p w14:paraId="3F55BB18" w14:textId="4EBD5F26"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0" w:name="Richardson"/>
      <w:r w:rsidRPr="0099292E">
        <w:rPr>
          <w:rFonts w:ascii="Times New Roman" w:hAnsi="Times New Roman" w:cs="Times New Roman"/>
          <w:noProof/>
          <w:sz w:val="24"/>
        </w:rPr>
        <w:t>Richardson</w:t>
      </w:r>
      <w:bookmarkEnd w:id="30"/>
      <w:r w:rsidRPr="0099292E">
        <w:rPr>
          <w:rFonts w:ascii="Times New Roman" w:hAnsi="Times New Roman" w:cs="Times New Roman"/>
          <w:noProof/>
          <w:sz w:val="24"/>
        </w:rPr>
        <w:t>, G., Lanis, R., &amp; Taylor, G. (2015). Financial distress, outside directors</w:t>
      </w:r>
      <w:r w:rsidR="009D7FF5">
        <w:rPr>
          <w:rFonts w:ascii="Times New Roman" w:hAnsi="Times New Roman" w:cs="Times New Roman"/>
          <w:noProof/>
          <w:sz w:val="24"/>
        </w:rPr>
        <w:t>,</w:t>
      </w:r>
      <w:r w:rsidRPr="0099292E">
        <w:rPr>
          <w:rFonts w:ascii="Times New Roman" w:hAnsi="Times New Roman" w:cs="Times New Roman"/>
          <w:noProof/>
          <w:sz w:val="24"/>
        </w:rPr>
        <w:t xml:space="preserve"> and corporate tax aggressiveness spanning the global financial crisis: An empirical analysis. </w:t>
      </w:r>
      <w:r w:rsidRPr="0099292E">
        <w:rPr>
          <w:rFonts w:ascii="Times New Roman" w:hAnsi="Times New Roman" w:cs="Times New Roman"/>
          <w:i/>
          <w:iCs/>
          <w:noProof/>
          <w:sz w:val="24"/>
        </w:rPr>
        <w:t>Journal of Banking and Finance</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52</w:t>
      </w:r>
      <w:r w:rsidRPr="0099292E">
        <w:rPr>
          <w:rFonts w:ascii="Times New Roman" w:hAnsi="Times New Roman" w:cs="Times New Roman"/>
          <w:noProof/>
          <w:sz w:val="24"/>
        </w:rPr>
        <w:t>, 112–129. https://doi.org/10.1016/j.jbankfin.2014.11.013</w:t>
      </w:r>
    </w:p>
    <w:p w14:paraId="56F74E00" w14:textId="7598FC53"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1" w:name="Rini"/>
      <w:r w:rsidRPr="0099292E">
        <w:rPr>
          <w:rFonts w:ascii="Times New Roman" w:hAnsi="Times New Roman" w:cs="Times New Roman"/>
          <w:noProof/>
          <w:sz w:val="24"/>
        </w:rPr>
        <w:t>Rini</w:t>
      </w:r>
      <w:bookmarkEnd w:id="31"/>
      <w:r w:rsidRPr="0099292E">
        <w:rPr>
          <w:rFonts w:ascii="Times New Roman" w:hAnsi="Times New Roman" w:cs="Times New Roman"/>
          <w:noProof/>
          <w:sz w:val="24"/>
        </w:rPr>
        <w:t xml:space="preserve">, R. K., Adhariani, D., &amp; Sari, D. (2024). Environmental costs, environmental </w:t>
      </w:r>
      <w:r w:rsidR="00205049">
        <w:rPr>
          <w:rFonts w:ascii="Times New Roman" w:hAnsi="Times New Roman" w:cs="Times New Roman"/>
          <w:noProof/>
          <w:sz w:val="24"/>
        </w:rPr>
        <w:t xml:space="preserve">disclosure, and tax avoidance: </w:t>
      </w:r>
      <w:r w:rsidR="00205049">
        <w:rPr>
          <w:rFonts w:ascii="Times New Roman" w:hAnsi="Times New Roman" w:cs="Times New Roman"/>
          <w:noProof/>
          <w:sz w:val="24"/>
          <w:lang w:val="id-ID"/>
        </w:rPr>
        <w:t>E</w:t>
      </w:r>
      <w:r w:rsidRPr="0099292E">
        <w:rPr>
          <w:rFonts w:ascii="Times New Roman" w:hAnsi="Times New Roman" w:cs="Times New Roman"/>
          <w:noProof/>
          <w:sz w:val="24"/>
        </w:rPr>
        <w:t xml:space="preserve">vidence from mining and energy companies in Indonesia and Australia. </w:t>
      </w:r>
      <w:r w:rsidRPr="0099292E">
        <w:rPr>
          <w:rFonts w:ascii="Times New Roman" w:hAnsi="Times New Roman" w:cs="Times New Roman"/>
          <w:i/>
          <w:iCs/>
          <w:noProof/>
          <w:sz w:val="24"/>
        </w:rPr>
        <w:t>International Journal of Ethics and Systems</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40</w:t>
      </w:r>
      <w:r w:rsidRPr="0099292E">
        <w:rPr>
          <w:rFonts w:ascii="Times New Roman" w:hAnsi="Times New Roman" w:cs="Times New Roman"/>
          <w:noProof/>
          <w:sz w:val="24"/>
        </w:rPr>
        <w:t>(2), 281–302. https://doi.org/10.1108/IJOES-01-2022-0017</w:t>
      </w:r>
    </w:p>
    <w:p w14:paraId="68783E5F" w14:textId="623CB578"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2" w:name="Serafeim"/>
      <w:r w:rsidRPr="0099292E">
        <w:rPr>
          <w:rFonts w:ascii="Times New Roman" w:hAnsi="Times New Roman" w:cs="Times New Roman"/>
          <w:noProof/>
          <w:sz w:val="24"/>
        </w:rPr>
        <w:t>Serafeim</w:t>
      </w:r>
      <w:bookmarkEnd w:id="32"/>
      <w:r w:rsidRPr="0099292E">
        <w:rPr>
          <w:rFonts w:ascii="Times New Roman" w:hAnsi="Times New Roman" w:cs="Times New Roman"/>
          <w:noProof/>
          <w:sz w:val="24"/>
        </w:rPr>
        <w:t>, G., &amp; Yoon, A. (2023). Stoc</w:t>
      </w:r>
      <w:r w:rsidR="00205049">
        <w:rPr>
          <w:rFonts w:ascii="Times New Roman" w:hAnsi="Times New Roman" w:cs="Times New Roman"/>
          <w:noProof/>
          <w:sz w:val="24"/>
        </w:rPr>
        <w:t xml:space="preserve">k price reactions to ESG news: </w:t>
      </w:r>
      <w:r w:rsidR="00205049">
        <w:rPr>
          <w:rFonts w:ascii="Times New Roman" w:hAnsi="Times New Roman" w:cs="Times New Roman"/>
          <w:noProof/>
          <w:sz w:val="24"/>
          <w:lang w:val="id-ID"/>
        </w:rPr>
        <w:t>T</w:t>
      </w:r>
      <w:r w:rsidRPr="0099292E">
        <w:rPr>
          <w:rFonts w:ascii="Times New Roman" w:hAnsi="Times New Roman" w:cs="Times New Roman"/>
          <w:noProof/>
          <w:sz w:val="24"/>
        </w:rPr>
        <w:t xml:space="preserve">he role of ESG ratings and disagreement. </w:t>
      </w:r>
      <w:r w:rsidRPr="0099292E">
        <w:rPr>
          <w:rFonts w:ascii="Times New Roman" w:hAnsi="Times New Roman" w:cs="Times New Roman"/>
          <w:i/>
          <w:iCs/>
          <w:noProof/>
          <w:sz w:val="24"/>
        </w:rPr>
        <w:t>Review of Accounting Studies</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28</w:t>
      </w:r>
      <w:r w:rsidRPr="0099292E">
        <w:rPr>
          <w:rFonts w:ascii="Times New Roman" w:hAnsi="Times New Roman" w:cs="Times New Roman"/>
          <w:noProof/>
          <w:sz w:val="24"/>
        </w:rPr>
        <w:t>(3), 1500–1530. https://doi.org/10.1007/s11142-022-09675-3</w:t>
      </w:r>
    </w:p>
    <w:p w14:paraId="67FDC3B0"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3" w:name="Souguir"/>
      <w:r w:rsidRPr="0099292E">
        <w:rPr>
          <w:rFonts w:ascii="Times New Roman" w:hAnsi="Times New Roman" w:cs="Times New Roman"/>
          <w:noProof/>
          <w:sz w:val="24"/>
        </w:rPr>
        <w:t>Souguir</w:t>
      </w:r>
      <w:bookmarkEnd w:id="33"/>
      <w:r w:rsidRPr="0099292E">
        <w:rPr>
          <w:rFonts w:ascii="Times New Roman" w:hAnsi="Times New Roman" w:cs="Times New Roman"/>
          <w:noProof/>
          <w:sz w:val="24"/>
        </w:rPr>
        <w:t xml:space="preserve">, Z., Lassoued, N., Khanchel, I., &amp; Bouzgarrou, H. (2024). Environmental performance and corporate tax avoidance: Greenwashing policy or eco-responsibility? The moderating role of ownership structure. </w:t>
      </w:r>
      <w:r w:rsidRPr="0099292E">
        <w:rPr>
          <w:rFonts w:ascii="Times New Roman" w:hAnsi="Times New Roman" w:cs="Times New Roman"/>
          <w:i/>
          <w:iCs/>
          <w:noProof/>
          <w:sz w:val="24"/>
        </w:rPr>
        <w:t>Journal of Cleaner Production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434</w:t>
      </w:r>
      <w:r w:rsidRPr="0099292E">
        <w:rPr>
          <w:rFonts w:ascii="Times New Roman" w:hAnsi="Times New Roman" w:cs="Times New Roman"/>
          <w:noProof/>
          <w:sz w:val="24"/>
        </w:rPr>
        <w:t>(July 2023), 140152. https://doi.org/10.1016/j.jclepro.2023.140152</w:t>
      </w:r>
    </w:p>
    <w:p w14:paraId="0D491679" w14:textId="1FC02DAC"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4" w:name="Sudibyo"/>
      <w:r w:rsidRPr="0099292E">
        <w:rPr>
          <w:rFonts w:ascii="Times New Roman" w:hAnsi="Times New Roman" w:cs="Times New Roman"/>
          <w:noProof/>
          <w:sz w:val="24"/>
        </w:rPr>
        <w:t>Sudibyo</w:t>
      </w:r>
      <w:bookmarkEnd w:id="34"/>
      <w:r w:rsidRPr="0099292E">
        <w:rPr>
          <w:rFonts w:ascii="Times New Roman" w:hAnsi="Times New Roman" w:cs="Times New Roman"/>
          <w:noProof/>
          <w:sz w:val="24"/>
        </w:rPr>
        <w:t>, Y. A., &amp; Jianfu, S. (2016). Political connections, state</w:t>
      </w:r>
      <w:r w:rsidR="009D7FF5">
        <w:rPr>
          <w:rFonts w:ascii="Times New Roman" w:hAnsi="Times New Roman" w:cs="Times New Roman"/>
          <w:noProof/>
          <w:sz w:val="24"/>
        </w:rPr>
        <w:t>-</w:t>
      </w:r>
      <w:r w:rsidRPr="0099292E">
        <w:rPr>
          <w:rFonts w:ascii="Times New Roman" w:hAnsi="Times New Roman" w:cs="Times New Roman"/>
          <w:noProof/>
          <w:sz w:val="24"/>
        </w:rPr>
        <w:t xml:space="preserve">owned enterprises and tax avoidance: </w:t>
      </w:r>
      <w:r w:rsidR="009D7FF5">
        <w:rPr>
          <w:rFonts w:ascii="Times New Roman" w:hAnsi="Times New Roman" w:cs="Times New Roman"/>
          <w:noProof/>
          <w:sz w:val="24"/>
        </w:rPr>
        <w:t>E</w:t>
      </w:r>
      <w:r w:rsidRPr="0099292E">
        <w:rPr>
          <w:rFonts w:ascii="Times New Roman" w:hAnsi="Times New Roman" w:cs="Times New Roman"/>
          <w:noProof/>
          <w:sz w:val="24"/>
        </w:rPr>
        <w:t xml:space="preserve">vidence from Indonesia. </w:t>
      </w:r>
      <w:r w:rsidRPr="0099292E">
        <w:rPr>
          <w:rFonts w:ascii="Times New Roman" w:hAnsi="Times New Roman" w:cs="Times New Roman"/>
          <w:i/>
          <w:iCs/>
          <w:noProof/>
          <w:sz w:val="24"/>
        </w:rPr>
        <w:t>Corporate Ownership and Control</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13</w:t>
      </w:r>
      <w:r w:rsidRPr="0099292E">
        <w:rPr>
          <w:rFonts w:ascii="Times New Roman" w:hAnsi="Times New Roman" w:cs="Times New Roman"/>
          <w:noProof/>
          <w:sz w:val="24"/>
        </w:rPr>
        <w:t>(3continued2), 279–283. https://doi.org/10.22495/cocv13i3c2p2</w:t>
      </w:r>
    </w:p>
    <w:p w14:paraId="47EFEA23" w14:textId="6A42E94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5" w:name="Sulfia"/>
      <w:r w:rsidRPr="0099292E">
        <w:rPr>
          <w:rFonts w:ascii="Times New Roman" w:hAnsi="Times New Roman" w:cs="Times New Roman"/>
          <w:noProof/>
          <w:sz w:val="24"/>
        </w:rPr>
        <w:t>Sulfia</w:t>
      </w:r>
      <w:bookmarkEnd w:id="35"/>
      <w:r w:rsidRPr="0099292E">
        <w:rPr>
          <w:rFonts w:ascii="Times New Roman" w:hAnsi="Times New Roman" w:cs="Times New Roman"/>
          <w:noProof/>
          <w:sz w:val="24"/>
        </w:rPr>
        <w:t xml:space="preserve">, I., &amp; Rusmanto, T. (2024). </w:t>
      </w:r>
      <w:r w:rsidR="009D7FF5">
        <w:rPr>
          <w:rFonts w:ascii="Times New Roman" w:hAnsi="Times New Roman" w:cs="Times New Roman"/>
          <w:noProof/>
          <w:sz w:val="24"/>
        </w:rPr>
        <w:t>T</w:t>
      </w:r>
      <w:r w:rsidR="0010430E">
        <w:rPr>
          <w:rFonts w:ascii="Times New Roman" w:hAnsi="Times New Roman" w:cs="Times New Roman"/>
          <w:noProof/>
          <w:sz w:val="24"/>
        </w:rPr>
        <w:t xml:space="preserve">he </w:t>
      </w:r>
      <w:r w:rsidR="0010430E">
        <w:rPr>
          <w:rFonts w:ascii="Times New Roman" w:hAnsi="Times New Roman" w:cs="Times New Roman"/>
          <w:noProof/>
          <w:sz w:val="24"/>
          <w:lang w:val="id-ID"/>
        </w:rPr>
        <w:t>r</w:t>
      </w:r>
      <w:r w:rsidR="0010430E">
        <w:rPr>
          <w:rFonts w:ascii="Times New Roman" w:hAnsi="Times New Roman" w:cs="Times New Roman"/>
          <w:noProof/>
          <w:sz w:val="24"/>
        </w:rPr>
        <w:t xml:space="preserve">ole of </w:t>
      </w:r>
      <w:r w:rsidR="0010430E">
        <w:rPr>
          <w:rFonts w:ascii="Times New Roman" w:hAnsi="Times New Roman" w:cs="Times New Roman"/>
          <w:noProof/>
          <w:sz w:val="24"/>
          <w:lang w:val="id-ID"/>
        </w:rPr>
        <w:t>c</w:t>
      </w:r>
      <w:r w:rsidRPr="0099292E">
        <w:rPr>
          <w:rFonts w:ascii="Times New Roman" w:hAnsi="Times New Roman" w:cs="Times New Roman"/>
          <w:noProof/>
          <w:sz w:val="24"/>
        </w:rPr>
        <w:t>orporate</w:t>
      </w:r>
      <w:r w:rsidR="0010430E">
        <w:rPr>
          <w:rFonts w:ascii="Times New Roman" w:hAnsi="Times New Roman" w:cs="Times New Roman"/>
          <w:noProof/>
          <w:sz w:val="24"/>
        </w:rPr>
        <w:t xml:space="preserve"> </w:t>
      </w:r>
      <w:r w:rsidR="0010430E">
        <w:rPr>
          <w:rFonts w:ascii="Times New Roman" w:hAnsi="Times New Roman" w:cs="Times New Roman"/>
          <w:noProof/>
          <w:sz w:val="24"/>
          <w:lang w:val="id-ID"/>
        </w:rPr>
        <w:t>g</w:t>
      </w:r>
      <w:r w:rsidR="0010430E">
        <w:rPr>
          <w:rFonts w:ascii="Times New Roman" w:hAnsi="Times New Roman" w:cs="Times New Roman"/>
          <w:noProof/>
          <w:sz w:val="24"/>
        </w:rPr>
        <w:t xml:space="preserve">overnance in </w:t>
      </w:r>
      <w:r w:rsidR="0010430E">
        <w:rPr>
          <w:rFonts w:ascii="Times New Roman" w:hAnsi="Times New Roman" w:cs="Times New Roman"/>
          <w:noProof/>
          <w:sz w:val="24"/>
          <w:lang w:val="id-ID"/>
        </w:rPr>
        <w:t>m</w:t>
      </w:r>
      <w:r w:rsidR="0010430E">
        <w:rPr>
          <w:rFonts w:ascii="Times New Roman" w:hAnsi="Times New Roman" w:cs="Times New Roman"/>
          <w:noProof/>
          <w:sz w:val="24"/>
        </w:rPr>
        <w:t xml:space="preserve">itigating </w:t>
      </w:r>
      <w:r w:rsidR="0010430E">
        <w:rPr>
          <w:rFonts w:ascii="Times New Roman" w:hAnsi="Times New Roman" w:cs="Times New Roman"/>
          <w:noProof/>
          <w:sz w:val="24"/>
          <w:lang w:val="id-ID"/>
        </w:rPr>
        <w:t>t</w:t>
      </w:r>
      <w:r w:rsidR="0010430E">
        <w:rPr>
          <w:rFonts w:ascii="Times New Roman" w:hAnsi="Times New Roman" w:cs="Times New Roman"/>
          <w:noProof/>
          <w:sz w:val="24"/>
        </w:rPr>
        <w:t xml:space="preserve">ax </w:t>
      </w:r>
      <w:r w:rsidR="0010430E">
        <w:rPr>
          <w:rFonts w:ascii="Times New Roman" w:hAnsi="Times New Roman" w:cs="Times New Roman"/>
          <w:noProof/>
          <w:sz w:val="24"/>
          <w:lang w:val="id-ID"/>
        </w:rPr>
        <w:t>a</w:t>
      </w:r>
      <w:r w:rsidRPr="0099292E">
        <w:rPr>
          <w:rFonts w:ascii="Times New Roman" w:hAnsi="Times New Roman" w:cs="Times New Roman"/>
          <w:noProof/>
          <w:sz w:val="24"/>
        </w:rPr>
        <w:t xml:space="preserve">voidance. </w:t>
      </w:r>
      <w:r w:rsidRPr="0099292E">
        <w:rPr>
          <w:rFonts w:ascii="Times New Roman" w:hAnsi="Times New Roman" w:cs="Times New Roman"/>
          <w:i/>
          <w:iCs/>
          <w:noProof/>
          <w:sz w:val="24"/>
        </w:rPr>
        <w:t>Journal of Governance and Regulation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13</w:t>
      </w:r>
      <w:r w:rsidRPr="0099292E">
        <w:rPr>
          <w:rFonts w:ascii="Times New Roman" w:hAnsi="Times New Roman" w:cs="Times New Roman"/>
          <w:noProof/>
          <w:sz w:val="24"/>
        </w:rPr>
        <w:t>(4 (special issue)), 236–246. https://doi.org/10.22495/jgrv13i4siart2</w:t>
      </w:r>
    </w:p>
    <w:p w14:paraId="59F613CF" w14:textId="0AEF996F"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6" w:name="Sumartono"/>
      <w:r w:rsidRPr="0099292E">
        <w:rPr>
          <w:rFonts w:ascii="Times New Roman" w:hAnsi="Times New Roman" w:cs="Times New Roman"/>
          <w:noProof/>
          <w:sz w:val="24"/>
        </w:rPr>
        <w:t>Sumartono,</w:t>
      </w:r>
      <w:bookmarkEnd w:id="36"/>
      <w:r w:rsidRPr="0099292E">
        <w:rPr>
          <w:rFonts w:ascii="Times New Roman" w:hAnsi="Times New Roman" w:cs="Times New Roman"/>
          <w:noProof/>
          <w:sz w:val="24"/>
        </w:rPr>
        <w:t xml:space="preserve"> S., &amp; Puspasar</w:t>
      </w:r>
      <w:r w:rsidR="0010430E">
        <w:rPr>
          <w:rFonts w:ascii="Times New Roman" w:hAnsi="Times New Roman" w:cs="Times New Roman"/>
          <w:noProof/>
          <w:sz w:val="24"/>
        </w:rPr>
        <w:t xml:space="preserve">i, I. W. T. (2021). Determinan </w:t>
      </w:r>
      <w:r w:rsidR="0010430E">
        <w:rPr>
          <w:rFonts w:ascii="Times New Roman" w:hAnsi="Times New Roman" w:cs="Times New Roman"/>
          <w:noProof/>
          <w:sz w:val="24"/>
          <w:lang w:val="id-ID"/>
        </w:rPr>
        <w:t>t</w:t>
      </w:r>
      <w:r w:rsidR="0010430E">
        <w:rPr>
          <w:rFonts w:ascii="Times New Roman" w:hAnsi="Times New Roman" w:cs="Times New Roman"/>
          <w:noProof/>
          <w:sz w:val="24"/>
        </w:rPr>
        <w:t xml:space="preserve">ax </w:t>
      </w:r>
      <w:r w:rsidR="0010430E">
        <w:rPr>
          <w:rFonts w:ascii="Times New Roman" w:hAnsi="Times New Roman" w:cs="Times New Roman"/>
          <w:noProof/>
          <w:sz w:val="24"/>
          <w:lang w:val="id-ID"/>
        </w:rPr>
        <w:t>a</w:t>
      </w:r>
      <w:r w:rsidR="0010430E">
        <w:rPr>
          <w:rFonts w:ascii="Times New Roman" w:hAnsi="Times New Roman" w:cs="Times New Roman"/>
          <w:noProof/>
          <w:sz w:val="24"/>
        </w:rPr>
        <w:t xml:space="preserve">voidance: Bukti </w:t>
      </w:r>
      <w:r w:rsidR="0010430E">
        <w:rPr>
          <w:rFonts w:ascii="Times New Roman" w:hAnsi="Times New Roman" w:cs="Times New Roman"/>
          <w:noProof/>
          <w:sz w:val="24"/>
          <w:lang w:val="id-ID"/>
        </w:rPr>
        <w:t>e</w:t>
      </w:r>
      <w:r w:rsidR="0010430E">
        <w:rPr>
          <w:rFonts w:ascii="Times New Roman" w:hAnsi="Times New Roman" w:cs="Times New Roman"/>
          <w:noProof/>
          <w:sz w:val="24"/>
        </w:rPr>
        <w:t xml:space="preserve">mpiris pada </w:t>
      </w:r>
      <w:r w:rsidR="0010430E">
        <w:rPr>
          <w:rFonts w:ascii="Times New Roman" w:hAnsi="Times New Roman" w:cs="Times New Roman"/>
          <w:noProof/>
          <w:sz w:val="24"/>
          <w:lang w:val="id-ID"/>
        </w:rPr>
        <w:t>p</w:t>
      </w:r>
      <w:r w:rsidR="0010430E">
        <w:rPr>
          <w:rFonts w:ascii="Times New Roman" w:hAnsi="Times New Roman" w:cs="Times New Roman"/>
          <w:noProof/>
          <w:sz w:val="24"/>
        </w:rPr>
        <w:t xml:space="preserve">erusahaan </w:t>
      </w:r>
      <w:r w:rsidR="0010430E">
        <w:rPr>
          <w:rFonts w:ascii="Times New Roman" w:hAnsi="Times New Roman" w:cs="Times New Roman"/>
          <w:noProof/>
          <w:sz w:val="24"/>
          <w:lang w:val="id-ID"/>
        </w:rPr>
        <w:t>p</w:t>
      </w:r>
      <w:r w:rsidRPr="0099292E">
        <w:rPr>
          <w:rFonts w:ascii="Times New Roman" w:hAnsi="Times New Roman" w:cs="Times New Roman"/>
          <w:noProof/>
          <w:sz w:val="24"/>
        </w:rPr>
        <w:t xml:space="preserve">ublik di Indonesia. </w:t>
      </w:r>
      <w:r w:rsidRPr="0099292E">
        <w:rPr>
          <w:rFonts w:ascii="Times New Roman" w:hAnsi="Times New Roman" w:cs="Times New Roman"/>
          <w:i/>
          <w:iCs/>
          <w:noProof/>
          <w:sz w:val="24"/>
        </w:rPr>
        <w:t>Jurnal Ilmiah Akuntansi</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6</w:t>
      </w:r>
      <w:r w:rsidRPr="0099292E">
        <w:rPr>
          <w:rFonts w:ascii="Times New Roman" w:hAnsi="Times New Roman" w:cs="Times New Roman"/>
          <w:noProof/>
          <w:sz w:val="24"/>
        </w:rPr>
        <w:t>(1), 136. https://doi.org/10.23887/jia.v6i1.29281</w:t>
      </w:r>
    </w:p>
    <w:p w14:paraId="5062D6E5" w14:textId="23CD1688"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7" w:name="Sunarsih"/>
      <w:r w:rsidRPr="0099292E">
        <w:rPr>
          <w:rFonts w:ascii="Times New Roman" w:hAnsi="Times New Roman" w:cs="Times New Roman"/>
          <w:noProof/>
          <w:sz w:val="24"/>
        </w:rPr>
        <w:t>Sunarsih</w:t>
      </w:r>
      <w:bookmarkEnd w:id="37"/>
      <w:r w:rsidRPr="0099292E">
        <w:rPr>
          <w:rFonts w:ascii="Times New Roman" w:hAnsi="Times New Roman" w:cs="Times New Roman"/>
          <w:noProof/>
          <w:sz w:val="24"/>
        </w:rPr>
        <w:t>, U.</w:t>
      </w:r>
      <w:r w:rsidR="0010430E">
        <w:rPr>
          <w:rFonts w:ascii="Times New Roman" w:hAnsi="Times New Roman" w:cs="Times New Roman"/>
          <w:noProof/>
          <w:sz w:val="24"/>
        </w:rPr>
        <w:t xml:space="preserve">, &amp; Oktaviani, K. (2016). Good </w:t>
      </w:r>
      <w:r w:rsidR="0010430E">
        <w:rPr>
          <w:rFonts w:ascii="Times New Roman" w:hAnsi="Times New Roman" w:cs="Times New Roman"/>
          <w:noProof/>
          <w:sz w:val="24"/>
          <w:lang w:val="id-ID"/>
        </w:rPr>
        <w:t>c</w:t>
      </w:r>
      <w:r w:rsidR="0010430E">
        <w:rPr>
          <w:rFonts w:ascii="Times New Roman" w:hAnsi="Times New Roman" w:cs="Times New Roman"/>
          <w:noProof/>
          <w:sz w:val="24"/>
        </w:rPr>
        <w:t xml:space="preserve">orporate </w:t>
      </w:r>
      <w:r w:rsidR="0010430E">
        <w:rPr>
          <w:rFonts w:ascii="Times New Roman" w:hAnsi="Times New Roman" w:cs="Times New Roman"/>
          <w:noProof/>
          <w:sz w:val="24"/>
          <w:lang w:val="id-ID"/>
        </w:rPr>
        <w:t>g</w:t>
      </w:r>
      <w:r w:rsidR="0010430E">
        <w:rPr>
          <w:rFonts w:ascii="Times New Roman" w:hAnsi="Times New Roman" w:cs="Times New Roman"/>
          <w:noProof/>
          <w:sz w:val="24"/>
        </w:rPr>
        <w:t xml:space="preserve">overnance in </w:t>
      </w:r>
      <w:r w:rsidR="0010430E">
        <w:rPr>
          <w:rFonts w:ascii="Times New Roman" w:hAnsi="Times New Roman" w:cs="Times New Roman"/>
          <w:noProof/>
          <w:sz w:val="24"/>
          <w:lang w:val="id-ID"/>
        </w:rPr>
        <w:t>m</w:t>
      </w:r>
      <w:r w:rsidR="0010430E">
        <w:rPr>
          <w:rFonts w:ascii="Times New Roman" w:hAnsi="Times New Roman" w:cs="Times New Roman"/>
          <w:noProof/>
          <w:sz w:val="24"/>
        </w:rPr>
        <w:t xml:space="preserve">anufacturing </w:t>
      </w:r>
      <w:r w:rsidR="0010430E">
        <w:rPr>
          <w:rFonts w:ascii="Times New Roman" w:hAnsi="Times New Roman" w:cs="Times New Roman"/>
          <w:noProof/>
          <w:sz w:val="24"/>
          <w:lang w:val="id-ID"/>
        </w:rPr>
        <w:t>c</w:t>
      </w:r>
      <w:r w:rsidRPr="0099292E">
        <w:rPr>
          <w:rFonts w:ascii="Times New Roman" w:hAnsi="Times New Roman" w:cs="Times New Roman"/>
          <w:noProof/>
          <w:sz w:val="24"/>
        </w:rPr>
        <w:t>ompanies</w:t>
      </w:r>
      <w:r w:rsidR="009D7FF5">
        <w:rPr>
          <w:rFonts w:ascii="Times New Roman" w:hAnsi="Times New Roman" w:cs="Times New Roman"/>
          <w:noProof/>
          <w:sz w:val="24"/>
        </w:rPr>
        <w:t>:</w:t>
      </w:r>
      <w:r w:rsidR="0010430E">
        <w:rPr>
          <w:rFonts w:ascii="Times New Roman" w:hAnsi="Times New Roman" w:cs="Times New Roman"/>
          <w:noProof/>
          <w:sz w:val="24"/>
        </w:rPr>
        <w:t xml:space="preserve"> Tax </w:t>
      </w:r>
      <w:r w:rsidR="0010430E">
        <w:rPr>
          <w:rFonts w:ascii="Times New Roman" w:hAnsi="Times New Roman" w:cs="Times New Roman"/>
          <w:noProof/>
          <w:sz w:val="24"/>
          <w:lang w:val="id-ID"/>
        </w:rPr>
        <w:t>a</w:t>
      </w:r>
      <w:r w:rsidRPr="0099292E">
        <w:rPr>
          <w:rFonts w:ascii="Times New Roman" w:hAnsi="Times New Roman" w:cs="Times New Roman"/>
          <w:noProof/>
          <w:sz w:val="24"/>
        </w:rPr>
        <w:t xml:space="preserve">voidance. </w:t>
      </w:r>
      <w:r w:rsidRPr="0099292E">
        <w:rPr>
          <w:rFonts w:ascii="Times New Roman" w:hAnsi="Times New Roman" w:cs="Times New Roman"/>
          <w:i/>
          <w:iCs/>
          <w:noProof/>
          <w:sz w:val="24"/>
        </w:rPr>
        <w:t>Etikonomi</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15</w:t>
      </w:r>
      <w:r w:rsidRPr="0099292E">
        <w:rPr>
          <w:rFonts w:ascii="Times New Roman" w:hAnsi="Times New Roman" w:cs="Times New Roman"/>
          <w:noProof/>
          <w:sz w:val="24"/>
        </w:rPr>
        <w:t>(2), 85–96. https://doi.org/10.15408/etk.v15i2.3541</w:t>
      </w:r>
    </w:p>
    <w:p w14:paraId="7ADB0234" w14:textId="423473DA"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8" w:name="Suyanto"/>
      <w:r w:rsidRPr="0099292E">
        <w:rPr>
          <w:rFonts w:ascii="Times New Roman" w:hAnsi="Times New Roman" w:cs="Times New Roman"/>
          <w:noProof/>
          <w:sz w:val="24"/>
        </w:rPr>
        <w:lastRenderedPageBreak/>
        <w:t>Suyanto</w:t>
      </w:r>
      <w:bookmarkEnd w:id="38"/>
      <w:r w:rsidRPr="0099292E">
        <w:rPr>
          <w:rFonts w:ascii="Times New Roman" w:hAnsi="Times New Roman" w:cs="Times New Roman"/>
          <w:noProof/>
          <w:sz w:val="24"/>
        </w:rPr>
        <w:t>, K. D., &amp; Supramono, S. (2012). L</w:t>
      </w:r>
      <w:r w:rsidR="0010430E">
        <w:rPr>
          <w:rFonts w:ascii="Times New Roman" w:hAnsi="Times New Roman" w:cs="Times New Roman"/>
          <w:noProof/>
          <w:sz w:val="24"/>
        </w:rPr>
        <w:t xml:space="preserve">ikuiditas, </w:t>
      </w:r>
      <w:r w:rsidR="0010430E">
        <w:rPr>
          <w:rFonts w:ascii="Times New Roman" w:hAnsi="Times New Roman" w:cs="Times New Roman"/>
          <w:noProof/>
          <w:sz w:val="24"/>
          <w:lang w:val="id-ID"/>
        </w:rPr>
        <w:t>l</w:t>
      </w:r>
      <w:r w:rsidR="0010430E">
        <w:rPr>
          <w:rFonts w:ascii="Times New Roman" w:hAnsi="Times New Roman" w:cs="Times New Roman"/>
          <w:noProof/>
          <w:sz w:val="24"/>
        </w:rPr>
        <w:t xml:space="preserve">everage, </w:t>
      </w:r>
      <w:r w:rsidR="0010430E">
        <w:rPr>
          <w:rFonts w:ascii="Times New Roman" w:hAnsi="Times New Roman" w:cs="Times New Roman"/>
          <w:noProof/>
          <w:sz w:val="24"/>
          <w:lang w:val="id-ID"/>
        </w:rPr>
        <w:t>k</w:t>
      </w:r>
      <w:r w:rsidR="0010430E">
        <w:rPr>
          <w:rFonts w:ascii="Times New Roman" w:hAnsi="Times New Roman" w:cs="Times New Roman"/>
          <w:noProof/>
          <w:sz w:val="24"/>
        </w:rPr>
        <w:t xml:space="preserve">omisaris </w:t>
      </w:r>
      <w:r w:rsidR="0010430E">
        <w:rPr>
          <w:rFonts w:ascii="Times New Roman" w:hAnsi="Times New Roman" w:cs="Times New Roman"/>
          <w:noProof/>
          <w:sz w:val="24"/>
          <w:lang w:val="id-ID"/>
        </w:rPr>
        <w:t>i</w:t>
      </w:r>
      <w:r w:rsidR="0010430E">
        <w:rPr>
          <w:rFonts w:ascii="Times New Roman" w:hAnsi="Times New Roman" w:cs="Times New Roman"/>
          <w:noProof/>
          <w:sz w:val="24"/>
        </w:rPr>
        <w:t xml:space="preserve">ndependen, </w:t>
      </w:r>
      <w:r w:rsidR="0010430E">
        <w:rPr>
          <w:rFonts w:ascii="Times New Roman" w:hAnsi="Times New Roman" w:cs="Times New Roman"/>
          <w:noProof/>
          <w:sz w:val="24"/>
          <w:lang w:val="id-ID"/>
        </w:rPr>
        <w:t>d</w:t>
      </w:r>
      <w:r w:rsidR="0010430E">
        <w:rPr>
          <w:rFonts w:ascii="Times New Roman" w:hAnsi="Times New Roman" w:cs="Times New Roman"/>
          <w:noProof/>
          <w:sz w:val="24"/>
        </w:rPr>
        <w:t xml:space="preserve">an </w:t>
      </w:r>
      <w:r w:rsidR="0010430E">
        <w:rPr>
          <w:rFonts w:ascii="Times New Roman" w:hAnsi="Times New Roman" w:cs="Times New Roman"/>
          <w:noProof/>
          <w:sz w:val="24"/>
          <w:lang w:val="id-ID"/>
        </w:rPr>
        <w:t>m</w:t>
      </w:r>
      <w:r w:rsidR="0010430E">
        <w:rPr>
          <w:rFonts w:ascii="Times New Roman" w:hAnsi="Times New Roman" w:cs="Times New Roman"/>
          <w:noProof/>
          <w:sz w:val="24"/>
        </w:rPr>
        <w:t xml:space="preserve">anajemen </w:t>
      </w:r>
      <w:r w:rsidR="0010430E">
        <w:rPr>
          <w:rFonts w:ascii="Times New Roman" w:hAnsi="Times New Roman" w:cs="Times New Roman"/>
          <w:noProof/>
          <w:sz w:val="24"/>
          <w:lang w:val="id-ID"/>
        </w:rPr>
        <w:t>l</w:t>
      </w:r>
      <w:r w:rsidR="0010430E">
        <w:rPr>
          <w:rFonts w:ascii="Times New Roman" w:hAnsi="Times New Roman" w:cs="Times New Roman"/>
          <w:noProof/>
          <w:sz w:val="24"/>
        </w:rPr>
        <w:t xml:space="preserve">aba </w:t>
      </w:r>
      <w:r w:rsidR="0010430E">
        <w:rPr>
          <w:rFonts w:ascii="Times New Roman" w:hAnsi="Times New Roman" w:cs="Times New Roman"/>
          <w:noProof/>
          <w:sz w:val="24"/>
          <w:lang w:val="id-ID"/>
        </w:rPr>
        <w:t>t</w:t>
      </w:r>
      <w:r w:rsidR="0010430E">
        <w:rPr>
          <w:rFonts w:ascii="Times New Roman" w:hAnsi="Times New Roman" w:cs="Times New Roman"/>
          <w:noProof/>
          <w:sz w:val="24"/>
        </w:rPr>
        <w:t xml:space="preserve">erhadap </w:t>
      </w:r>
      <w:r w:rsidR="0010430E">
        <w:rPr>
          <w:rFonts w:ascii="Times New Roman" w:hAnsi="Times New Roman" w:cs="Times New Roman"/>
          <w:noProof/>
          <w:sz w:val="24"/>
          <w:lang w:val="id-ID"/>
        </w:rPr>
        <w:t>a</w:t>
      </w:r>
      <w:r w:rsidR="0010430E">
        <w:rPr>
          <w:rFonts w:ascii="Times New Roman" w:hAnsi="Times New Roman" w:cs="Times New Roman"/>
          <w:noProof/>
          <w:sz w:val="24"/>
        </w:rPr>
        <w:t xml:space="preserve">gresivitas </w:t>
      </w:r>
      <w:r w:rsidR="0010430E">
        <w:rPr>
          <w:rFonts w:ascii="Times New Roman" w:hAnsi="Times New Roman" w:cs="Times New Roman"/>
          <w:noProof/>
          <w:sz w:val="24"/>
          <w:lang w:val="id-ID"/>
        </w:rPr>
        <w:t>p</w:t>
      </w:r>
      <w:r w:rsidR="0010430E">
        <w:rPr>
          <w:rFonts w:ascii="Times New Roman" w:hAnsi="Times New Roman" w:cs="Times New Roman"/>
          <w:noProof/>
          <w:sz w:val="24"/>
        </w:rPr>
        <w:t xml:space="preserve">ajak </w:t>
      </w:r>
      <w:r w:rsidR="0010430E">
        <w:rPr>
          <w:rFonts w:ascii="Times New Roman" w:hAnsi="Times New Roman" w:cs="Times New Roman"/>
          <w:noProof/>
          <w:sz w:val="24"/>
          <w:lang w:val="id-ID"/>
        </w:rPr>
        <w:t>p</w:t>
      </w:r>
      <w:r w:rsidR="00C403F5" w:rsidRPr="0099292E">
        <w:rPr>
          <w:rFonts w:ascii="Times New Roman" w:hAnsi="Times New Roman" w:cs="Times New Roman"/>
          <w:noProof/>
          <w:sz w:val="24"/>
        </w:rPr>
        <w:t>erusahaan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Jurnal Keuangan Dan Perbankan</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16</w:t>
      </w:r>
      <w:r w:rsidRPr="0099292E">
        <w:rPr>
          <w:rFonts w:ascii="Times New Roman" w:hAnsi="Times New Roman" w:cs="Times New Roman"/>
          <w:noProof/>
          <w:sz w:val="24"/>
        </w:rPr>
        <w:t>(2), 167–177. https://doi.org/https://doi.org/10.26905/jkdp.v16i2.1057</w:t>
      </w:r>
    </w:p>
    <w:p w14:paraId="3EF07E20" w14:textId="776EB900"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39" w:name="Teja"/>
      <w:r w:rsidRPr="0099292E">
        <w:rPr>
          <w:rFonts w:ascii="Times New Roman" w:hAnsi="Times New Roman" w:cs="Times New Roman"/>
          <w:noProof/>
          <w:sz w:val="24"/>
        </w:rPr>
        <w:t>Teja</w:t>
      </w:r>
      <w:bookmarkEnd w:id="39"/>
      <w:r w:rsidR="0010430E">
        <w:rPr>
          <w:rFonts w:ascii="Times New Roman" w:hAnsi="Times New Roman" w:cs="Times New Roman"/>
          <w:noProof/>
          <w:sz w:val="24"/>
        </w:rPr>
        <w:t xml:space="preserve">, A. (2024). Environmental, </w:t>
      </w:r>
      <w:r w:rsidR="0010430E">
        <w:rPr>
          <w:rFonts w:ascii="Times New Roman" w:hAnsi="Times New Roman" w:cs="Times New Roman"/>
          <w:noProof/>
          <w:sz w:val="24"/>
          <w:lang w:val="id-ID"/>
        </w:rPr>
        <w:t>s</w:t>
      </w:r>
      <w:r w:rsidRPr="0099292E">
        <w:rPr>
          <w:rFonts w:ascii="Times New Roman" w:hAnsi="Times New Roman" w:cs="Times New Roman"/>
          <w:noProof/>
          <w:sz w:val="24"/>
        </w:rPr>
        <w:t>ocial</w:t>
      </w:r>
      <w:r w:rsidR="009D7FF5">
        <w:rPr>
          <w:rFonts w:ascii="Times New Roman" w:hAnsi="Times New Roman" w:cs="Times New Roman"/>
          <w:noProof/>
          <w:sz w:val="24"/>
        </w:rPr>
        <w:t>,</w:t>
      </w:r>
      <w:r w:rsidR="0010430E">
        <w:rPr>
          <w:rFonts w:ascii="Times New Roman" w:hAnsi="Times New Roman" w:cs="Times New Roman"/>
          <w:noProof/>
          <w:sz w:val="24"/>
        </w:rPr>
        <w:t xml:space="preserve"> and </w:t>
      </w:r>
      <w:r w:rsidR="0010430E">
        <w:rPr>
          <w:rFonts w:ascii="Times New Roman" w:hAnsi="Times New Roman" w:cs="Times New Roman"/>
          <w:noProof/>
          <w:sz w:val="24"/>
          <w:lang w:val="id-ID"/>
        </w:rPr>
        <w:t>g</w:t>
      </w:r>
      <w:r w:rsidR="0010430E">
        <w:rPr>
          <w:rFonts w:ascii="Times New Roman" w:hAnsi="Times New Roman" w:cs="Times New Roman"/>
          <w:noProof/>
          <w:sz w:val="24"/>
        </w:rPr>
        <w:t xml:space="preserve">overnance </w:t>
      </w:r>
      <w:r w:rsidR="0010430E">
        <w:rPr>
          <w:rFonts w:ascii="Times New Roman" w:hAnsi="Times New Roman" w:cs="Times New Roman"/>
          <w:noProof/>
          <w:sz w:val="24"/>
          <w:lang w:val="id-ID"/>
        </w:rPr>
        <w:t>d</w:t>
      </w:r>
      <w:r w:rsidR="0010430E">
        <w:rPr>
          <w:rFonts w:ascii="Times New Roman" w:hAnsi="Times New Roman" w:cs="Times New Roman"/>
          <w:noProof/>
          <w:sz w:val="24"/>
        </w:rPr>
        <w:t xml:space="preserve">isclosure </w:t>
      </w:r>
      <w:r w:rsidR="0010430E">
        <w:rPr>
          <w:rFonts w:ascii="Times New Roman" w:hAnsi="Times New Roman" w:cs="Times New Roman"/>
          <w:noProof/>
          <w:sz w:val="24"/>
          <w:lang w:val="id-ID"/>
        </w:rPr>
        <w:t>s</w:t>
      </w:r>
      <w:r w:rsidR="0010430E">
        <w:rPr>
          <w:rFonts w:ascii="Times New Roman" w:hAnsi="Times New Roman" w:cs="Times New Roman"/>
          <w:noProof/>
          <w:sz w:val="24"/>
        </w:rPr>
        <w:t xml:space="preserve">cores and </w:t>
      </w:r>
      <w:r w:rsidR="0010430E">
        <w:rPr>
          <w:rFonts w:ascii="Times New Roman" w:hAnsi="Times New Roman" w:cs="Times New Roman"/>
          <w:noProof/>
          <w:sz w:val="24"/>
          <w:lang w:val="id-ID"/>
        </w:rPr>
        <w:t>t</w:t>
      </w:r>
      <w:r w:rsidR="0010430E">
        <w:rPr>
          <w:rFonts w:ascii="Times New Roman" w:hAnsi="Times New Roman" w:cs="Times New Roman"/>
          <w:noProof/>
          <w:sz w:val="24"/>
        </w:rPr>
        <w:t xml:space="preserve">ax </w:t>
      </w:r>
      <w:r w:rsidR="0010430E">
        <w:rPr>
          <w:rFonts w:ascii="Times New Roman" w:hAnsi="Times New Roman" w:cs="Times New Roman"/>
          <w:noProof/>
          <w:sz w:val="24"/>
          <w:lang w:val="id-ID"/>
        </w:rPr>
        <w:t>a</w:t>
      </w:r>
      <w:r w:rsidRPr="0099292E">
        <w:rPr>
          <w:rFonts w:ascii="Times New Roman" w:hAnsi="Times New Roman" w:cs="Times New Roman"/>
          <w:noProof/>
          <w:sz w:val="24"/>
        </w:rPr>
        <w:t xml:space="preserve">voidance. </w:t>
      </w:r>
      <w:r w:rsidRPr="0099292E">
        <w:rPr>
          <w:rFonts w:ascii="Times New Roman" w:hAnsi="Times New Roman" w:cs="Times New Roman"/>
          <w:i/>
          <w:iCs/>
          <w:noProof/>
          <w:sz w:val="24"/>
        </w:rPr>
        <w:t>Jurnal Ilmiah Akuntansi</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9</w:t>
      </w:r>
      <w:r w:rsidRPr="0099292E">
        <w:rPr>
          <w:rFonts w:ascii="Times New Roman" w:hAnsi="Times New Roman" w:cs="Times New Roman"/>
          <w:noProof/>
          <w:sz w:val="24"/>
        </w:rPr>
        <w:t>(1), 186–209. https://doi.org/10.23887/jia.v9i1.69573</w:t>
      </w:r>
    </w:p>
    <w:p w14:paraId="2B236792"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40" w:name="Trawule"/>
      <w:r w:rsidRPr="0099292E">
        <w:rPr>
          <w:rFonts w:ascii="Times New Roman" w:hAnsi="Times New Roman" w:cs="Times New Roman"/>
          <w:noProof/>
          <w:sz w:val="24"/>
        </w:rPr>
        <w:t>Trawule</w:t>
      </w:r>
      <w:bookmarkEnd w:id="40"/>
      <w:r w:rsidRPr="0099292E">
        <w:rPr>
          <w:rFonts w:ascii="Times New Roman" w:hAnsi="Times New Roman" w:cs="Times New Roman"/>
          <w:noProof/>
          <w:sz w:val="24"/>
        </w:rPr>
        <w:t xml:space="preserve">, A. Y., Gadzo, S. G., Kportorgbi, H. K., &amp; Sam-Quarm, R. (2022). Tax education and fear-appealing messages: A grease or sand in the wheels of tax compliance? </w:t>
      </w:r>
      <w:r w:rsidRPr="0099292E">
        <w:rPr>
          <w:rFonts w:ascii="Times New Roman" w:hAnsi="Times New Roman" w:cs="Times New Roman"/>
          <w:i/>
          <w:iCs/>
          <w:noProof/>
          <w:sz w:val="24"/>
        </w:rPr>
        <w:t>Cogent Business and Management</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9</w:t>
      </w:r>
      <w:r w:rsidRPr="0099292E">
        <w:rPr>
          <w:rFonts w:ascii="Times New Roman" w:hAnsi="Times New Roman" w:cs="Times New Roman"/>
          <w:noProof/>
          <w:sz w:val="24"/>
        </w:rPr>
        <w:t>(1). https://doi.org/10.1080/23311975.2022.2049436</w:t>
      </w:r>
    </w:p>
    <w:p w14:paraId="08490CA2"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41" w:name="Wang"/>
      <w:r w:rsidRPr="0099292E">
        <w:rPr>
          <w:rFonts w:ascii="Times New Roman" w:hAnsi="Times New Roman" w:cs="Times New Roman"/>
          <w:noProof/>
          <w:sz w:val="24"/>
        </w:rPr>
        <w:t>Wang</w:t>
      </w:r>
      <w:bookmarkEnd w:id="41"/>
      <w:r w:rsidRPr="0099292E">
        <w:rPr>
          <w:rFonts w:ascii="Times New Roman" w:hAnsi="Times New Roman" w:cs="Times New Roman"/>
          <w:noProof/>
          <w:sz w:val="24"/>
        </w:rPr>
        <w:t xml:space="preserve">, W., Wang, H., &amp; Wu, J. (George). (2021). Mixed ownership reform and corporate tax avoidance: Evidence of Chinese listed firms. </w:t>
      </w:r>
      <w:r w:rsidRPr="0099292E">
        <w:rPr>
          <w:rFonts w:ascii="Times New Roman" w:hAnsi="Times New Roman" w:cs="Times New Roman"/>
          <w:i/>
          <w:iCs/>
          <w:noProof/>
          <w:sz w:val="24"/>
        </w:rPr>
        <w:t>Pacific Basin Finance Journal</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69</w:t>
      </w:r>
      <w:r w:rsidRPr="0099292E">
        <w:rPr>
          <w:rFonts w:ascii="Times New Roman" w:hAnsi="Times New Roman" w:cs="Times New Roman"/>
          <w:noProof/>
          <w:sz w:val="24"/>
        </w:rPr>
        <w:t>(September), 101648. https://doi.org/10.1016/j.pacfin.2021.101648</w:t>
      </w:r>
    </w:p>
    <w:p w14:paraId="757645FD" w14:textId="23F77968"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42" w:name="Widianti"/>
      <w:r w:rsidRPr="0099292E">
        <w:rPr>
          <w:rFonts w:ascii="Times New Roman" w:hAnsi="Times New Roman" w:cs="Times New Roman"/>
          <w:noProof/>
          <w:sz w:val="24"/>
        </w:rPr>
        <w:t>Widianti</w:t>
      </w:r>
      <w:bookmarkEnd w:id="42"/>
      <w:r w:rsidRPr="0099292E">
        <w:rPr>
          <w:rFonts w:ascii="Times New Roman" w:hAnsi="Times New Roman" w:cs="Times New Roman"/>
          <w:noProof/>
          <w:sz w:val="24"/>
        </w:rPr>
        <w:t>, F. D. A.</w:t>
      </w:r>
      <w:r w:rsidR="00E94FC1">
        <w:rPr>
          <w:rFonts w:ascii="Times New Roman" w:hAnsi="Times New Roman" w:cs="Times New Roman"/>
          <w:noProof/>
          <w:sz w:val="24"/>
        </w:rPr>
        <w:t xml:space="preserve">, &amp; Prasetyo, A. B. (2023). Do </w:t>
      </w:r>
      <w:r w:rsidR="00E94FC1">
        <w:rPr>
          <w:rFonts w:ascii="Times New Roman" w:hAnsi="Times New Roman" w:cs="Times New Roman"/>
          <w:noProof/>
          <w:sz w:val="24"/>
          <w:lang w:val="id-ID"/>
        </w:rPr>
        <w:t>c</w:t>
      </w:r>
      <w:r w:rsidRPr="0099292E">
        <w:rPr>
          <w:rFonts w:ascii="Times New Roman" w:hAnsi="Times New Roman" w:cs="Times New Roman"/>
          <w:noProof/>
          <w:sz w:val="24"/>
        </w:rPr>
        <w:t>orpo</w:t>
      </w:r>
      <w:r w:rsidR="00E94FC1">
        <w:rPr>
          <w:rFonts w:ascii="Times New Roman" w:hAnsi="Times New Roman" w:cs="Times New Roman"/>
          <w:noProof/>
          <w:sz w:val="24"/>
        </w:rPr>
        <w:t xml:space="preserve">rate </w:t>
      </w:r>
      <w:r w:rsidR="00E94FC1">
        <w:rPr>
          <w:rFonts w:ascii="Times New Roman" w:hAnsi="Times New Roman" w:cs="Times New Roman"/>
          <w:noProof/>
          <w:sz w:val="24"/>
          <w:lang w:val="id-ID"/>
        </w:rPr>
        <w:t>s</w:t>
      </w:r>
      <w:r w:rsidR="00E94FC1">
        <w:rPr>
          <w:rFonts w:ascii="Times New Roman" w:hAnsi="Times New Roman" w:cs="Times New Roman"/>
          <w:noProof/>
          <w:sz w:val="24"/>
        </w:rPr>
        <w:t xml:space="preserve">ocial </w:t>
      </w:r>
      <w:r w:rsidR="00E94FC1">
        <w:rPr>
          <w:rFonts w:ascii="Times New Roman" w:hAnsi="Times New Roman" w:cs="Times New Roman"/>
          <w:noProof/>
          <w:sz w:val="24"/>
          <w:lang w:val="id-ID"/>
        </w:rPr>
        <w:t>r</w:t>
      </w:r>
      <w:r w:rsidR="00E94FC1">
        <w:rPr>
          <w:rFonts w:ascii="Times New Roman" w:hAnsi="Times New Roman" w:cs="Times New Roman"/>
          <w:noProof/>
          <w:sz w:val="24"/>
        </w:rPr>
        <w:t xml:space="preserve">esponsibility and </w:t>
      </w:r>
      <w:r w:rsidR="00E94FC1">
        <w:rPr>
          <w:rFonts w:ascii="Times New Roman" w:hAnsi="Times New Roman" w:cs="Times New Roman"/>
          <w:noProof/>
          <w:sz w:val="24"/>
          <w:lang w:val="id-ID"/>
        </w:rPr>
        <w:t>c</w:t>
      </w:r>
      <w:r w:rsidR="00E94FC1">
        <w:rPr>
          <w:rFonts w:ascii="Times New Roman" w:hAnsi="Times New Roman" w:cs="Times New Roman"/>
          <w:noProof/>
          <w:sz w:val="24"/>
        </w:rPr>
        <w:t xml:space="preserve">orporate </w:t>
      </w:r>
      <w:r w:rsidR="00E94FC1">
        <w:rPr>
          <w:rFonts w:ascii="Times New Roman" w:hAnsi="Times New Roman" w:cs="Times New Roman"/>
          <w:noProof/>
          <w:sz w:val="24"/>
          <w:lang w:val="id-ID"/>
        </w:rPr>
        <w:t>g</w:t>
      </w:r>
      <w:r w:rsidR="00E94FC1">
        <w:rPr>
          <w:rFonts w:ascii="Times New Roman" w:hAnsi="Times New Roman" w:cs="Times New Roman"/>
          <w:noProof/>
          <w:sz w:val="24"/>
        </w:rPr>
        <w:t xml:space="preserve">overnance </w:t>
      </w:r>
      <w:r w:rsidR="00E94FC1">
        <w:rPr>
          <w:rFonts w:ascii="Times New Roman" w:hAnsi="Times New Roman" w:cs="Times New Roman"/>
          <w:noProof/>
          <w:sz w:val="24"/>
          <w:lang w:val="id-ID"/>
        </w:rPr>
        <w:t>d</w:t>
      </w:r>
      <w:r w:rsidRPr="0099292E">
        <w:rPr>
          <w:rFonts w:ascii="Times New Roman" w:hAnsi="Times New Roman" w:cs="Times New Roman"/>
          <w:noProof/>
          <w:sz w:val="24"/>
        </w:rPr>
        <w:t>isclosur</w:t>
      </w:r>
      <w:r w:rsidR="00E94FC1">
        <w:rPr>
          <w:rFonts w:ascii="Times New Roman" w:hAnsi="Times New Roman" w:cs="Times New Roman"/>
          <w:noProof/>
          <w:sz w:val="24"/>
        </w:rPr>
        <w:t xml:space="preserve">es </w:t>
      </w:r>
      <w:r w:rsidR="00E94FC1">
        <w:rPr>
          <w:rFonts w:ascii="Times New Roman" w:hAnsi="Times New Roman" w:cs="Times New Roman"/>
          <w:noProof/>
          <w:sz w:val="24"/>
          <w:lang w:val="id-ID"/>
        </w:rPr>
        <w:t>a</w:t>
      </w:r>
      <w:r w:rsidR="00E94FC1">
        <w:rPr>
          <w:rFonts w:ascii="Times New Roman" w:hAnsi="Times New Roman" w:cs="Times New Roman"/>
          <w:noProof/>
          <w:sz w:val="24"/>
        </w:rPr>
        <w:t>ffect </w:t>
      </w:r>
      <w:r w:rsidR="00E94FC1">
        <w:rPr>
          <w:rFonts w:ascii="Times New Roman" w:hAnsi="Times New Roman" w:cs="Times New Roman"/>
          <w:noProof/>
          <w:sz w:val="24"/>
          <w:lang w:val="id-ID"/>
        </w:rPr>
        <w:t>t</w:t>
      </w:r>
      <w:r w:rsidR="00E94FC1">
        <w:rPr>
          <w:rFonts w:ascii="Times New Roman" w:hAnsi="Times New Roman" w:cs="Times New Roman"/>
          <w:noProof/>
          <w:sz w:val="24"/>
        </w:rPr>
        <w:t>ax </w:t>
      </w:r>
      <w:r w:rsidR="00E94FC1">
        <w:rPr>
          <w:rFonts w:ascii="Times New Roman" w:hAnsi="Times New Roman" w:cs="Times New Roman"/>
          <w:noProof/>
          <w:sz w:val="24"/>
          <w:lang w:val="id-ID"/>
        </w:rPr>
        <w:t>a</w:t>
      </w:r>
      <w:r w:rsidRPr="0099292E">
        <w:rPr>
          <w:rFonts w:ascii="Times New Roman" w:hAnsi="Times New Roman" w:cs="Times New Roman"/>
          <w:noProof/>
          <w:sz w:val="24"/>
        </w:rPr>
        <w:t xml:space="preserve">voidance? </w:t>
      </w:r>
      <w:r w:rsidRPr="0099292E">
        <w:rPr>
          <w:rFonts w:ascii="Times New Roman" w:hAnsi="Times New Roman" w:cs="Times New Roman"/>
          <w:i/>
          <w:iCs/>
          <w:noProof/>
          <w:sz w:val="24"/>
        </w:rPr>
        <w:t>Accounting Analysis Journal</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12</w:t>
      </w:r>
      <w:r w:rsidRPr="0099292E">
        <w:rPr>
          <w:rFonts w:ascii="Times New Roman" w:hAnsi="Times New Roman" w:cs="Times New Roman"/>
          <w:noProof/>
          <w:sz w:val="24"/>
        </w:rPr>
        <w:t>(3), 165–176. https://doi.org/10.15294/aaj.v12i3.70867</w:t>
      </w:r>
    </w:p>
    <w:p w14:paraId="55680261" w14:textId="77777777" w:rsidR="00301863" w:rsidRPr="0099292E" w:rsidRDefault="00301863" w:rsidP="003D7685">
      <w:pPr>
        <w:widowControl w:val="0"/>
        <w:autoSpaceDE w:val="0"/>
        <w:autoSpaceDN w:val="0"/>
        <w:adjustRightInd w:val="0"/>
        <w:ind w:left="482" w:hanging="482"/>
        <w:jc w:val="both"/>
        <w:rPr>
          <w:rFonts w:ascii="Times New Roman" w:hAnsi="Times New Roman" w:cs="Times New Roman"/>
          <w:noProof/>
          <w:sz w:val="24"/>
        </w:rPr>
      </w:pPr>
      <w:bookmarkStart w:id="43" w:name="Yanto"/>
      <w:r w:rsidRPr="0099292E">
        <w:rPr>
          <w:rFonts w:ascii="Times New Roman" w:hAnsi="Times New Roman" w:cs="Times New Roman"/>
          <w:noProof/>
          <w:sz w:val="24"/>
        </w:rPr>
        <w:t>Yanto</w:t>
      </w:r>
      <w:bookmarkEnd w:id="43"/>
      <w:r w:rsidRPr="0099292E">
        <w:rPr>
          <w:rFonts w:ascii="Times New Roman" w:hAnsi="Times New Roman" w:cs="Times New Roman"/>
          <w:noProof/>
          <w:sz w:val="24"/>
        </w:rPr>
        <w:t xml:space="preserve">, H., Hajawiyah, A., &amp; Baroroh, N. (2025). The reciprocal effect of environmental, social, and governance (ESG) practices and tax aggressiveness in Indonesian and Malaysian companies. </w:t>
      </w:r>
      <w:r w:rsidRPr="0099292E">
        <w:rPr>
          <w:rFonts w:ascii="Times New Roman" w:hAnsi="Times New Roman" w:cs="Times New Roman"/>
          <w:i/>
          <w:iCs/>
          <w:noProof/>
          <w:sz w:val="24"/>
        </w:rPr>
        <w:t>Problems and Perspectives in Management</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23</w:t>
      </w:r>
      <w:r w:rsidRPr="0099292E">
        <w:rPr>
          <w:rFonts w:ascii="Times New Roman" w:hAnsi="Times New Roman" w:cs="Times New Roman"/>
          <w:noProof/>
          <w:sz w:val="24"/>
        </w:rPr>
        <w:t>(1), 339–351. https://doi.org/10.21511/ppm.23(1).2025.25</w:t>
      </w:r>
    </w:p>
    <w:p w14:paraId="2045F43A" w14:textId="76F6B88D" w:rsidR="003D7685" w:rsidRDefault="00301863" w:rsidP="003D7685">
      <w:pPr>
        <w:widowControl w:val="0"/>
        <w:autoSpaceDE w:val="0"/>
        <w:autoSpaceDN w:val="0"/>
        <w:adjustRightInd w:val="0"/>
        <w:ind w:left="482" w:hanging="482"/>
        <w:jc w:val="both"/>
        <w:rPr>
          <w:rFonts w:ascii="Times New Roman" w:hAnsi="Times New Roman" w:cs="Times New Roman"/>
          <w:noProof/>
          <w:sz w:val="24"/>
          <w:lang w:val="id-ID"/>
        </w:rPr>
      </w:pPr>
      <w:bookmarkStart w:id="44" w:name="Yuni"/>
      <w:r w:rsidRPr="0099292E">
        <w:rPr>
          <w:rFonts w:ascii="Times New Roman" w:hAnsi="Times New Roman" w:cs="Times New Roman"/>
          <w:noProof/>
          <w:sz w:val="24"/>
        </w:rPr>
        <w:t>Yuni</w:t>
      </w:r>
      <w:bookmarkEnd w:id="44"/>
      <w:r w:rsidRPr="0099292E">
        <w:rPr>
          <w:rFonts w:ascii="Times New Roman" w:hAnsi="Times New Roman" w:cs="Times New Roman"/>
          <w:noProof/>
          <w:sz w:val="24"/>
        </w:rPr>
        <w:t>, N. P. A. I., &amp; Se</w:t>
      </w:r>
      <w:r w:rsidR="004065D2">
        <w:rPr>
          <w:rFonts w:ascii="Times New Roman" w:hAnsi="Times New Roman" w:cs="Times New Roman"/>
          <w:noProof/>
          <w:sz w:val="24"/>
        </w:rPr>
        <w:t xml:space="preserve">tiawan, P. E. (2019). Pengaruh </w:t>
      </w:r>
      <w:r w:rsidR="004065D2">
        <w:rPr>
          <w:rFonts w:ascii="Times New Roman" w:hAnsi="Times New Roman" w:cs="Times New Roman"/>
          <w:noProof/>
          <w:sz w:val="24"/>
          <w:lang w:val="id-ID"/>
        </w:rPr>
        <w:t>c</w:t>
      </w:r>
      <w:r w:rsidR="004065D2">
        <w:rPr>
          <w:rFonts w:ascii="Times New Roman" w:hAnsi="Times New Roman" w:cs="Times New Roman"/>
          <w:noProof/>
          <w:sz w:val="24"/>
        </w:rPr>
        <w:t xml:space="preserve">orporate </w:t>
      </w:r>
      <w:r w:rsidR="004065D2">
        <w:rPr>
          <w:rFonts w:ascii="Times New Roman" w:hAnsi="Times New Roman" w:cs="Times New Roman"/>
          <w:noProof/>
          <w:sz w:val="24"/>
          <w:lang w:val="id-ID"/>
        </w:rPr>
        <w:t>g</w:t>
      </w:r>
      <w:r w:rsidR="004065D2">
        <w:rPr>
          <w:rFonts w:ascii="Times New Roman" w:hAnsi="Times New Roman" w:cs="Times New Roman"/>
          <w:noProof/>
          <w:sz w:val="24"/>
        </w:rPr>
        <w:t xml:space="preserve">overnance dan </w:t>
      </w:r>
      <w:r w:rsidR="004065D2">
        <w:rPr>
          <w:rFonts w:ascii="Times New Roman" w:hAnsi="Times New Roman" w:cs="Times New Roman"/>
          <w:noProof/>
          <w:sz w:val="24"/>
          <w:lang w:val="id-ID"/>
        </w:rPr>
        <w:t>p</w:t>
      </w:r>
      <w:r w:rsidR="004065D2">
        <w:rPr>
          <w:rFonts w:ascii="Times New Roman" w:hAnsi="Times New Roman" w:cs="Times New Roman"/>
          <w:noProof/>
          <w:sz w:val="24"/>
        </w:rPr>
        <w:t xml:space="preserve">rofitabilitas terhadap </w:t>
      </w:r>
      <w:r w:rsidR="004065D2">
        <w:rPr>
          <w:rFonts w:ascii="Times New Roman" w:hAnsi="Times New Roman" w:cs="Times New Roman"/>
          <w:noProof/>
          <w:sz w:val="24"/>
          <w:lang w:val="id-ID"/>
        </w:rPr>
        <w:t>p</w:t>
      </w:r>
      <w:r w:rsidR="004065D2">
        <w:rPr>
          <w:rFonts w:ascii="Times New Roman" w:hAnsi="Times New Roman" w:cs="Times New Roman"/>
          <w:noProof/>
          <w:sz w:val="24"/>
        </w:rPr>
        <w:t xml:space="preserve">enghindaran </w:t>
      </w:r>
      <w:r w:rsidR="004065D2">
        <w:rPr>
          <w:rFonts w:ascii="Times New Roman" w:hAnsi="Times New Roman" w:cs="Times New Roman"/>
          <w:noProof/>
          <w:sz w:val="24"/>
          <w:lang w:val="id-ID"/>
        </w:rPr>
        <w:t>p</w:t>
      </w:r>
      <w:r w:rsidR="004065D2">
        <w:rPr>
          <w:rFonts w:ascii="Times New Roman" w:hAnsi="Times New Roman" w:cs="Times New Roman"/>
          <w:noProof/>
          <w:sz w:val="24"/>
        </w:rPr>
        <w:t xml:space="preserve">ajak dengan </w:t>
      </w:r>
      <w:r w:rsidR="004065D2">
        <w:rPr>
          <w:rFonts w:ascii="Times New Roman" w:hAnsi="Times New Roman" w:cs="Times New Roman"/>
          <w:noProof/>
          <w:sz w:val="24"/>
          <w:lang w:val="id-ID"/>
        </w:rPr>
        <w:t>u</w:t>
      </w:r>
      <w:r w:rsidR="004065D2">
        <w:rPr>
          <w:rFonts w:ascii="Times New Roman" w:hAnsi="Times New Roman" w:cs="Times New Roman"/>
          <w:noProof/>
          <w:sz w:val="24"/>
        </w:rPr>
        <w:t xml:space="preserve">kuran </w:t>
      </w:r>
      <w:r w:rsidR="004065D2">
        <w:rPr>
          <w:rFonts w:ascii="Times New Roman" w:hAnsi="Times New Roman" w:cs="Times New Roman"/>
          <w:noProof/>
          <w:sz w:val="24"/>
          <w:lang w:val="id-ID"/>
        </w:rPr>
        <w:t>p</w:t>
      </w:r>
      <w:r w:rsidR="004065D2">
        <w:rPr>
          <w:rFonts w:ascii="Times New Roman" w:hAnsi="Times New Roman" w:cs="Times New Roman"/>
          <w:noProof/>
          <w:sz w:val="24"/>
        </w:rPr>
        <w:t xml:space="preserve">erusahaan </w:t>
      </w:r>
      <w:r w:rsidR="004065D2">
        <w:rPr>
          <w:rFonts w:ascii="Times New Roman" w:hAnsi="Times New Roman" w:cs="Times New Roman"/>
          <w:noProof/>
          <w:sz w:val="24"/>
          <w:lang w:val="id-ID"/>
        </w:rPr>
        <w:t>s</w:t>
      </w:r>
      <w:r w:rsidR="004065D2">
        <w:rPr>
          <w:rFonts w:ascii="Times New Roman" w:hAnsi="Times New Roman" w:cs="Times New Roman"/>
          <w:noProof/>
          <w:sz w:val="24"/>
        </w:rPr>
        <w:t xml:space="preserve">ebagai </w:t>
      </w:r>
      <w:r w:rsidR="004065D2">
        <w:rPr>
          <w:rFonts w:ascii="Times New Roman" w:hAnsi="Times New Roman" w:cs="Times New Roman"/>
          <w:noProof/>
          <w:sz w:val="24"/>
          <w:lang w:val="id-ID"/>
        </w:rPr>
        <w:t>v</w:t>
      </w:r>
      <w:r w:rsidR="00E94FC1">
        <w:rPr>
          <w:rFonts w:ascii="Times New Roman" w:hAnsi="Times New Roman" w:cs="Times New Roman"/>
          <w:noProof/>
          <w:sz w:val="24"/>
        </w:rPr>
        <w:t xml:space="preserve">ariabel </w:t>
      </w:r>
      <w:r w:rsidR="00E94FC1">
        <w:rPr>
          <w:rFonts w:ascii="Times New Roman" w:hAnsi="Times New Roman" w:cs="Times New Roman"/>
          <w:noProof/>
          <w:sz w:val="24"/>
          <w:lang w:val="id-ID"/>
        </w:rPr>
        <w:t>p</w:t>
      </w:r>
      <w:r w:rsidRPr="0099292E">
        <w:rPr>
          <w:rFonts w:ascii="Times New Roman" w:hAnsi="Times New Roman" w:cs="Times New Roman"/>
          <w:noProof/>
          <w:sz w:val="24"/>
        </w:rPr>
        <w:t xml:space="preserve">emoderasi. </w:t>
      </w:r>
      <w:r w:rsidRPr="0099292E">
        <w:rPr>
          <w:rFonts w:ascii="Times New Roman" w:hAnsi="Times New Roman" w:cs="Times New Roman"/>
          <w:i/>
          <w:iCs/>
          <w:noProof/>
          <w:sz w:val="24"/>
        </w:rPr>
        <w:t>E-Jurnal Akuntansi</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29</w:t>
      </w:r>
      <w:r w:rsidRPr="0099292E">
        <w:rPr>
          <w:rFonts w:ascii="Times New Roman" w:hAnsi="Times New Roman" w:cs="Times New Roman"/>
          <w:noProof/>
          <w:sz w:val="24"/>
        </w:rPr>
        <w:t>(1), 128.</w:t>
      </w:r>
      <w:r w:rsidR="003D7685" w:rsidRPr="003D7685">
        <w:t xml:space="preserve"> </w:t>
      </w:r>
      <w:r w:rsidR="003D7685" w:rsidRPr="003D7685">
        <w:rPr>
          <w:rFonts w:ascii="Times New Roman" w:hAnsi="Times New Roman" w:cs="Times New Roman"/>
          <w:noProof/>
          <w:sz w:val="24"/>
        </w:rPr>
        <w:t>https://doi.org/10.24843/eja.2019.v29.i01.p09</w:t>
      </w:r>
    </w:p>
    <w:p w14:paraId="1BEC3119" w14:textId="6305A607" w:rsidR="00253714" w:rsidRPr="00275AB2" w:rsidRDefault="00301863" w:rsidP="003D7685">
      <w:pPr>
        <w:widowControl w:val="0"/>
        <w:autoSpaceDE w:val="0"/>
        <w:autoSpaceDN w:val="0"/>
        <w:adjustRightInd w:val="0"/>
        <w:ind w:left="482" w:hanging="482"/>
        <w:jc w:val="both"/>
        <w:rPr>
          <w:rFonts w:ascii="Times New Roman" w:eastAsia="Times New Roman" w:hAnsi="Times New Roman" w:cs="Times New Roman"/>
          <w:b/>
          <w:sz w:val="24"/>
          <w:szCs w:val="24"/>
        </w:rPr>
      </w:pPr>
      <w:bookmarkStart w:id="45" w:name="Yunistiyani"/>
      <w:r w:rsidRPr="0099292E">
        <w:rPr>
          <w:rFonts w:ascii="Times New Roman" w:hAnsi="Times New Roman" w:cs="Times New Roman"/>
          <w:noProof/>
          <w:sz w:val="24"/>
        </w:rPr>
        <w:t>Yunistiyani</w:t>
      </w:r>
      <w:bookmarkEnd w:id="45"/>
      <w:r w:rsidRPr="0099292E">
        <w:rPr>
          <w:rFonts w:ascii="Times New Roman" w:hAnsi="Times New Roman" w:cs="Times New Roman"/>
          <w:noProof/>
          <w:sz w:val="24"/>
        </w:rPr>
        <w:t xml:space="preserve">, V., &amp; Tahar, A. (2017). </w:t>
      </w:r>
      <w:r w:rsidR="00C403F5" w:rsidRPr="0099292E">
        <w:rPr>
          <w:rFonts w:ascii="Times New Roman" w:hAnsi="Times New Roman" w:cs="Times New Roman"/>
          <w:noProof/>
          <w:sz w:val="24"/>
        </w:rPr>
        <w:t>C</w:t>
      </w:r>
      <w:r w:rsidR="004065D2">
        <w:rPr>
          <w:rFonts w:ascii="Times New Roman" w:hAnsi="Times New Roman" w:cs="Times New Roman"/>
          <w:noProof/>
          <w:sz w:val="24"/>
        </w:rPr>
        <w:t xml:space="preserve">orporate Social Responsibility </w:t>
      </w:r>
      <w:r w:rsidR="004065D2">
        <w:rPr>
          <w:rFonts w:ascii="Times New Roman" w:hAnsi="Times New Roman" w:cs="Times New Roman"/>
          <w:noProof/>
          <w:sz w:val="24"/>
          <w:lang w:val="id-ID"/>
        </w:rPr>
        <w:t>d</w:t>
      </w:r>
      <w:r w:rsidR="004065D2">
        <w:rPr>
          <w:rFonts w:ascii="Times New Roman" w:hAnsi="Times New Roman" w:cs="Times New Roman"/>
          <w:noProof/>
          <w:sz w:val="24"/>
        </w:rPr>
        <w:t xml:space="preserve">an </w:t>
      </w:r>
      <w:r w:rsidR="004065D2">
        <w:rPr>
          <w:rFonts w:ascii="Times New Roman" w:hAnsi="Times New Roman" w:cs="Times New Roman"/>
          <w:noProof/>
          <w:sz w:val="24"/>
          <w:lang w:val="id-ID"/>
        </w:rPr>
        <w:t>a</w:t>
      </w:r>
      <w:r w:rsidR="004065D2">
        <w:rPr>
          <w:rFonts w:ascii="Times New Roman" w:hAnsi="Times New Roman" w:cs="Times New Roman"/>
          <w:noProof/>
          <w:sz w:val="24"/>
        </w:rPr>
        <w:t xml:space="preserve">gresivitas </w:t>
      </w:r>
      <w:r w:rsidR="004065D2">
        <w:rPr>
          <w:rFonts w:ascii="Times New Roman" w:hAnsi="Times New Roman" w:cs="Times New Roman"/>
          <w:noProof/>
          <w:sz w:val="24"/>
          <w:lang w:val="id-ID"/>
        </w:rPr>
        <w:t>p</w:t>
      </w:r>
      <w:r w:rsidR="004065D2">
        <w:rPr>
          <w:rFonts w:ascii="Times New Roman" w:hAnsi="Times New Roman" w:cs="Times New Roman"/>
          <w:noProof/>
          <w:sz w:val="24"/>
        </w:rPr>
        <w:t xml:space="preserve">elaporan </w:t>
      </w:r>
      <w:r w:rsidR="004065D2">
        <w:rPr>
          <w:rFonts w:ascii="Times New Roman" w:hAnsi="Times New Roman" w:cs="Times New Roman"/>
          <w:noProof/>
          <w:sz w:val="24"/>
          <w:lang w:val="id-ID"/>
        </w:rPr>
        <w:t>k</w:t>
      </w:r>
      <w:r w:rsidR="004065D2">
        <w:rPr>
          <w:rFonts w:ascii="Times New Roman" w:hAnsi="Times New Roman" w:cs="Times New Roman"/>
          <w:noProof/>
          <w:sz w:val="24"/>
        </w:rPr>
        <w:t xml:space="preserve">euangan </w:t>
      </w:r>
      <w:r w:rsidR="004065D2">
        <w:rPr>
          <w:rFonts w:ascii="Times New Roman" w:hAnsi="Times New Roman" w:cs="Times New Roman"/>
          <w:noProof/>
          <w:sz w:val="24"/>
          <w:lang w:val="id-ID"/>
        </w:rPr>
        <w:t>t</w:t>
      </w:r>
      <w:r w:rsidR="004065D2">
        <w:rPr>
          <w:rFonts w:ascii="Times New Roman" w:hAnsi="Times New Roman" w:cs="Times New Roman"/>
          <w:noProof/>
          <w:sz w:val="24"/>
        </w:rPr>
        <w:t xml:space="preserve">erhadap </w:t>
      </w:r>
      <w:r w:rsidR="004065D2">
        <w:rPr>
          <w:rFonts w:ascii="Times New Roman" w:hAnsi="Times New Roman" w:cs="Times New Roman"/>
          <w:noProof/>
          <w:sz w:val="24"/>
          <w:lang w:val="id-ID"/>
        </w:rPr>
        <w:t>a</w:t>
      </w:r>
      <w:r w:rsidR="004065D2">
        <w:rPr>
          <w:rFonts w:ascii="Times New Roman" w:hAnsi="Times New Roman" w:cs="Times New Roman"/>
          <w:noProof/>
          <w:sz w:val="24"/>
        </w:rPr>
        <w:t xml:space="preserve">gresivitas </w:t>
      </w:r>
      <w:r w:rsidR="004065D2">
        <w:rPr>
          <w:rFonts w:ascii="Times New Roman" w:hAnsi="Times New Roman" w:cs="Times New Roman"/>
          <w:noProof/>
          <w:sz w:val="24"/>
          <w:lang w:val="id-ID"/>
        </w:rPr>
        <w:t>p</w:t>
      </w:r>
      <w:r w:rsidR="004065D2">
        <w:rPr>
          <w:rFonts w:ascii="Times New Roman" w:hAnsi="Times New Roman" w:cs="Times New Roman"/>
          <w:noProof/>
          <w:sz w:val="24"/>
        </w:rPr>
        <w:t xml:space="preserve">ajak </w:t>
      </w:r>
      <w:r w:rsidR="004065D2">
        <w:rPr>
          <w:rFonts w:ascii="Times New Roman" w:hAnsi="Times New Roman" w:cs="Times New Roman"/>
          <w:noProof/>
          <w:sz w:val="24"/>
          <w:lang w:val="id-ID"/>
        </w:rPr>
        <w:t>d</w:t>
      </w:r>
      <w:r w:rsidR="004065D2">
        <w:rPr>
          <w:rFonts w:ascii="Times New Roman" w:hAnsi="Times New Roman" w:cs="Times New Roman"/>
          <w:noProof/>
          <w:sz w:val="24"/>
        </w:rPr>
        <w:t xml:space="preserve">engan </w:t>
      </w:r>
      <w:r w:rsidR="004065D2">
        <w:rPr>
          <w:rFonts w:ascii="Times New Roman" w:hAnsi="Times New Roman" w:cs="Times New Roman"/>
          <w:noProof/>
          <w:sz w:val="24"/>
          <w:lang w:val="id-ID"/>
        </w:rPr>
        <w:t>g</w:t>
      </w:r>
      <w:r w:rsidR="004065D2">
        <w:rPr>
          <w:rFonts w:ascii="Times New Roman" w:hAnsi="Times New Roman" w:cs="Times New Roman"/>
          <w:noProof/>
          <w:sz w:val="24"/>
        </w:rPr>
        <w:t xml:space="preserve">ood </w:t>
      </w:r>
      <w:r w:rsidR="004065D2">
        <w:rPr>
          <w:rFonts w:ascii="Times New Roman" w:hAnsi="Times New Roman" w:cs="Times New Roman"/>
          <w:noProof/>
          <w:sz w:val="24"/>
          <w:lang w:val="id-ID"/>
        </w:rPr>
        <w:t>c</w:t>
      </w:r>
      <w:r w:rsidR="004065D2">
        <w:rPr>
          <w:rFonts w:ascii="Times New Roman" w:hAnsi="Times New Roman" w:cs="Times New Roman"/>
          <w:noProof/>
          <w:sz w:val="24"/>
        </w:rPr>
        <w:t xml:space="preserve">orporate </w:t>
      </w:r>
      <w:r w:rsidR="004065D2">
        <w:rPr>
          <w:rFonts w:ascii="Times New Roman" w:hAnsi="Times New Roman" w:cs="Times New Roman"/>
          <w:noProof/>
          <w:sz w:val="24"/>
          <w:lang w:val="id-ID"/>
        </w:rPr>
        <w:t>g</w:t>
      </w:r>
      <w:r w:rsidR="004065D2">
        <w:rPr>
          <w:rFonts w:ascii="Times New Roman" w:hAnsi="Times New Roman" w:cs="Times New Roman"/>
          <w:noProof/>
          <w:sz w:val="24"/>
        </w:rPr>
        <w:t xml:space="preserve">overnance </w:t>
      </w:r>
      <w:r w:rsidR="004065D2">
        <w:rPr>
          <w:rFonts w:ascii="Times New Roman" w:hAnsi="Times New Roman" w:cs="Times New Roman"/>
          <w:noProof/>
          <w:sz w:val="24"/>
          <w:lang w:val="id-ID"/>
        </w:rPr>
        <w:t>s</w:t>
      </w:r>
      <w:r w:rsidR="004065D2">
        <w:rPr>
          <w:rFonts w:ascii="Times New Roman" w:hAnsi="Times New Roman" w:cs="Times New Roman"/>
          <w:noProof/>
          <w:sz w:val="24"/>
        </w:rPr>
        <w:t xml:space="preserve">ebagai </w:t>
      </w:r>
      <w:r w:rsidR="004065D2">
        <w:rPr>
          <w:rFonts w:ascii="Times New Roman" w:hAnsi="Times New Roman" w:cs="Times New Roman"/>
          <w:noProof/>
          <w:sz w:val="24"/>
          <w:lang w:val="id-ID"/>
        </w:rPr>
        <w:t>p</w:t>
      </w:r>
      <w:r w:rsidR="00C403F5" w:rsidRPr="0099292E">
        <w:rPr>
          <w:rFonts w:ascii="Times New Roman" w:hAnsi="Times New Roman" w:cs="Times New Roman"/>
          <w:noProof/>
          <w:sz w:val="24"/>
        </w:rPr>
        <w:t>emoderasi</w:t>
      </w:r>
      <w:r w:rsidR="004065D2">
        <w:rPr>
          <w:rFonts w:ascii="Times New Roman" w:hAnsi="Times New Roman" w:cs="Times New Roman"/>
          <w:noProof/>
          <w:sz w:val="24"/>
        </w:rPr>
        <w:t xml:space="preserve"> (Studi pada </w:t>
      </w:r>
      <w:r w:rsidR="004065D2">
        <w:rPr>
          <w:rFonts w:ascii="Times New Roman" w:hAnsi="Times New Roman" w:cs="Times New Roman"/>
          <w:noProof/>
          <w:sz w:val="24"/>
          <w:lang w:val="id-ID"/>
        </w:rPr>
        <w:t>p</w:t>
      </w:r>
      <w:r w:rsidR="004065D2">
        <w:rPr>
          <w:rFonts w:ascii="Times New Roman" w:hAnsi="Times New Roman" w:cs="Times New Roman"/>
          <w:noProof/>
          <w:sz w:val="24"/>
        </w:rPr>
        <w:t xml:space="preserve">erusahaan </w:t>
      </w:r>
      <w:r w:rsidR="004065D2">
        <w:rPr>
          <w:rFonts w:ascii="Times New Roman" w:hAnsi="Times New Roman" w:cs="Times New Roman"/>
          <w:noProof/>
          <w:sz w:val="24"/>
          <w:lang w:val="id-ID"/>
        </w:rPr>
        <w:t>m</w:t>
      </w:r>
      <w:r w:rsidRPr="0099292E">
        <w:rPr>
          <w:rFonts w:ascii="Times New Roman" w:hAnsi="Times New Roman" w:cs="Times New Roman"/>
          <w:noProof/>
          <w:sz w:val="24"/>
        </w:rPr>
        <w:t xml:space="preserve">anufaktur di Bursa Efek Indonesia). </w:t>
      </w:r>
      <w:r w:rsidRPr="0099292E">
        <w:rPr>
          <w:rFonts w:ascii="Times New Roman" w:hAnsi="Times New Roman" w:cs="Times New Roman"/>
          <w:i/>
          <w:iCs/>
          <w:noProof/>
          <w:sz w:val="24"/>
        </w:rPr>
        <w:t>Jurnal Ilmiah Akuntansi</w:t>
      </w:r>
      <w:r w:rsidRPr="0099292E">
        <w:rPr>
          <w:rFonts w:ascii="Times New Roman" w:hAnsi="Times New Roman" w:cs="Times New Roman"/>
          <w:noProof/>
          <w:sz w:val="24"/>
        </w:rPr>
        <w:t xml:space="preserve">, </w:t>
      </w:r>
      <w:r w:rsidRPr="0099292E">
        <w:rPr>
          <w:rFonts w:ascii="Times New Roman" w:hAnsi="Times New Roman" w:cs="Times New Roman"/>
          <w:i/>
          <w:iCs/>
          <w:noProof/>
          <w:sz w:val="24"/>
        </w:rPr>
        <w:t>2</w:t>
      </w:r>
      <w:r w:rsidRPr="0099292E">
        <w:rPr>
          <w:rFonts w:ascii="Times New Roman" w:hAnsi="Times New Roman" w:cs="Times New Roman"/>
          <w:noProof/>
          <w:sz w:val="24"/>
        </w:rPr>
        <w:t>(1), 1–31. https://doi.org/10.23887/jia.v2i1.9610</w:t>
      </w:r>
      <w:r w:rsidR="00253714" w:rsidRPr="0099292E">
        <w:rPr>
          <w:rFonts w:ascii="Times New Roman" w:eastAsia="Times New Roman" w:hAnsi="Times New Roman" w:cs="Times New Roman"/>
          <w:b/>
          <w:sz w:val="24"/>
          <w:szCs w:val="24"/>
        </w:rPr>
        <w:fldChar w:fldCharType="end"/>
      </w:r>
    </w:p>
    <w:sectPr w:rsidR="00253714" w:rsidRPr="00275AB2" w:rsidSect="00B77FDA">
      <w:type w:val="continuous"/>
      <w:pgSz w:w="11906" w:h="16838"/>
      <w:pgMar w:top="1418" w:right="1418" w:bottom="1418"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77F1" w14:textId="77777777" w:rsidR="00C0755E" w:rsidRDefault="00C0755E">
      <w:pPr>
        <w:spacing w:after="0" w:line="240" w:lineRule="auto"/>
      </w:pPr>
      <w:r>
        <w:separator/>
      </w:r>
    </w:p>
  </w:endnote>
  <w:endnote w:type="continuationSeparator" w:id="0">
    <w:p w14:paraId="03B812E7" w14:textId="77777777" w:rsidR="00C0755E" w:rsidRDefault="00C0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E00002AF" w:usb1="5000E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7" w:type="dxa"/>
      <w:tblBorders>
        <w:top w:val="single" w:sz="4" w:space="0" w:color="B2A1C7" w:themeColor="accent4"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8050"/>
    </w:tblGrid>
    <w:tr w:rsidR="00357B5D" w14:paraId="253A0D53" w14:textId="77777777" w:rsidTr="00116580">
      <w:trPr>
        <w:trHeight w:val="567"/>
      </w:trPr>
      <w:tc>
        <w:tcPr>
          <w:tcW w:w="737" w:type="dxa"/>
          <w:shd w:val="clear" w:color="auto" w:fill="E5DFEC" w:themeFill="accent4" w:themeFillTint="33"/>
          <w:vAlign w:val="center"/>
        </w:tcPr>
        <w:p w14:paraId="6E2D4321" w14:textId="77777777" w:rsidR="00357B5D" w:rsidRPr="00022861" w:rsidRDefault="00357B5D" w:rsidP="00357B5D">
          <w:pPr>
            <w:tabs>
              <w:tab w:val="center" w:pos="4513"/>
              <w:tab w:val="right" w:pos="9026"/>
            </w:tabs>
            <w:jc w:val="center"/>
            <w:rPr>
              <w:color w:val="000000"/>
              <w:sz w:val="16"/>
              <w:szCs w:val="16"/>
            </w:rPr>
          </w:pPr>
          <w:r w:rsidRPr="005B63B6">
            <w:rPr>
              <w:color w:val="000000"/>
              <w:sz w:val="18"/>
              <w:szCs w:val="18"/>
            </w:rPr>
            <w:fldChar w:fldCharType="begin"/>
          </w:r>
          <w:r w:rsidRPr="005B63B6">
            <w:rPr>
              <w:color w:val="000000"/>
              <w:sz w:val="18"/>
              <w:szCs w:val="18"/>
            </w:rPr>
            <w:instrText xml:space="preserve"> PAGE   \* MERGEFORMAT </w:instrText>
          </w:r>
          <w:r w:rsidRPr="005B63B6">
            <w:rPr>
              <w:color w:val="000000"/>
              <w:sz w:val="18"/>
              <w:szCs w:val="18"/>
            </w:rPr>
            <w:fldChar w:fldCharType="separate"/>
          </w:r>
          <w:r>
            <w:rPr>
              <w:color w:val="000000"/>
              <w:sz w:val="18"/>
              <w:szCs w:val="18"/>
            </w:rPr>
            <w:t>226</w:t>
          </w:r>
          <w:r w:rsidRPr="005B63B6">
            <w:rPr>
              <w:noProof/>
              <w:color w:val="000000"/>
              <w:sz w:val="18"/>
              <w:szCs w:val="18"/>
            </w:rPr>
            <w:fldChar w:fldCharType="end"/>
          </w:r>
        </w:p>
      </w:tc>
      <w:tc>
        <w:tcPr>
          <w:tcW w:w="8050" w:type="dxa"/>
          <w:vAlign w:val="center"/>
        </w:tcPr>
        <w:p w14:paraId="59753A21" w14:textId="77777777" w:rsidR="00357B5D" w:rsidRPr="00962E29" w:rsidRDefault="00357B5D" w:rsidP="00357B5D">
          <w:pPr>
            <w:tabs>
              <w:tab w:val="left" w:pos="4706"/>
              <w:tab w:val="right" w:pos="9026"/>
            </w:tabs>
            <w:rPr>
              <w:rFonts w:asciiTheme="minorHAnsi" w:hAnsiTheme="minorHAnsi" w:cstheme="minorHAnsi"/>
              <w:color w:val="000000"/>
              <w:sz w:val="12"/>
              <w:szCs w:val="12"/>
            </w:rPr>
          </w:pPr>
          <w:hyperlink r:id="rId1" w:tgtFrame="_blank" w:tooltip="p-issn" w:history="1">
            <w:r w:rsidRPr="00962E29">
              <w:rPr>
                <w:rStyle w:val="Hyperlink"/>
                <w:rFonts w:asciiTheme="minorHAnsi" w:hAnsiTheme="minorHAnsi" w:cstheme="minorHAnsi"/>
                <w:b/>
                <w:bCs/>
                <w:color w:val="101E5A"/>
                <w:u w:val="none"/>
              </w:rPr>
              <w:t>2720-9067</w:t>
            </w:r>
          </w:hyperlink>
          <w:r w:rsidRPr="00962E29">
            <w:rPr>
              <w:rFonts w:asciiTheme="minorHAnsi" w:hAnsiTheme="minorHAnsi" w:cstheme="minorHAnsi"/>
            </w:rPr>
            <w:t> (</w:t>
          </w:r>
          <w:r w:rsidRPr="00962E29">
            <w:rPr>
              <w:rFonts w:asciiTheme="minorHAnsi" w:hAnsiTheme="minorHAnsi" w:cstheme="minorHAnsi"/>
              <w:lang w:val="en-US"/>
            </w:rPr>
            <w:t>ISSN</w:t>
          </w:r>
          <w:r w:rsidRPr="00962E29">
            <w:rPr>
              <w:rFonts w:asciiTheme="minorHAnsi" w:hAnsiTheme="minorHAnsi" w:cstheme="minorHAnsi"/>
            </w:rPr>
            <w:t>), </w:t>
          </w:r>
          <w:hyperlink r:id="rId2" w:tgtFrame="_blank" w:tooltip="issn" w:history="1">
            <w:r w:rsidRPr="00962E29">
              <w:rPr>
                <w:rStyle w:val="Hyperlink"/>
                <w:rFonts w:asciiTheme="minorHAnsi" w:hAnsiTheme="minorHAnsi" w:cstheme="minorHAnsi"/>
                <w:b/>
                <w:bCs/>
                <w:color w:val="101E5A"/>
                <w:u w:val="none"/>
              </w:rPr>
              <w:t>2685-1059</w:t>
            </w:r>
          </w:hyperlink>
          <w:r w:rsidRPr="00962E29">
            <w:rPr>
              <w:rFonts w:asciiTheme="minorHAnsi" w:hAnsiTheme="minorHAnsi" w:cstheme="minorHAnsi"/>
            </w:rPr>
            <w:t> (</w:t>
          </w:r>
          <w:r w:rsidRPr="00962E29">
            <w:rPr>
              <w:rFonts w:asciiTheme="minorHAnsi" w:hAnsiTheme="minorHAnsi" w:cstheme="minorHAnsi"/>
              <w:lang w:val="en-US"/>
            </w:rPr>
            <w:t>E-ISSN</w:t>
          </w:r>
          <w:r w:rsidRPr="00962E29">
            <w:rPr>
              <w:rFonts w:asciiTheme="minorHAnsi" w:hAnsiTheme="minorHAnsi" w:cstheme="minorHAnsi"/>
            </w:rPr>
            <w:t>)</w:t>
          </w:r>
        </w:p>
        <w:p w14:paraId="0143E879" w14:textId="77777777" w:rsidR="00357B5D" w:rsidRPr="00962E29" w:rsidRDefault="00357B5D" w:rsidP="00357B5D">
          <w:pPr>
            <w:tabs>
              <w:tab w:val="center" w:pos="4513"/>
              <w:tab w:val="right" w:pos="9026"/>
            </w:tabs>
            <w:rPr>
              <w:i/>
              <w:iCs/>
              <w:color w:val="000000"/>
              <w:sz w:val="18"/>
              <w:szCs w:val="18"/>
              <w:lang w:val="en-US"/>
            </w:rPr>
          </w:pPr>
          <w:r w:rsidRPr="00962E29">
            <w:rPr>
              <w:i/>
              <w:iCs/>
              <w:color w:val="000000"/>
              <w:sz w:val="18"/>
              <w:szCs w:val="18"/>
              <w:lang w:val="en-US"/>
            </w:rPr>
            <w:t xml:space="preserve">open access at: </w:t>
          </w:r>
          <w:hyperlink r:id="rId3" w:history="1">
            <w:r w:rsidRPr="00962E29">
              <w:rPr>
                <w:rStyle w:val="Hyperlink"/>
                <w:i/>
                <w:iCs/>
                <w:sz w:val="18"/>
                <w:szCs w:val="18"/>
                <w:u w:val="none"/>
              </w:rPr>
              <w:t>https://akurasi.unram.ac.id</w:t>
            </w:r>
          </w:hyperlink>
          <w:r w:rsidRPr="00962E29">
            <w:rPr>
              <w:i/>
              <w:iCs/>
              <w:sz w:val="18"/>
              <w:szCs w:val="18"/>
              <w:lang w:val="en-US"/>
            </w:rPr>
            <w:t xml:space="preserve"> </w:t>
          </w:r>
        </w:p>
      </w:tc>
    </w:tr>
  </w:tbl>
  <w:p w14:paraId="70BBEF4D" w14:textId="77777777" w:rsidR="00675AEF" w:rsidRPr="00357B5D" w:rsidRDefault="00675AEF" w:rsidP="00357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7" w:type="dxa"/>
      <w:tblBorders>
        <w:top w:val="single" w:sz="4" w:space="0" w:color="B2A1C7" w:themeColor="accent4"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737"/>
    </w:tblGrid>
    <w:tr w:rsidR="00357B5D" w14:paraId="14118B45" w14:textId="77777777" w:rsidTr="00116580">
      <w:trPr>
        <w:trHeight w:val="567"/>
      </w:trPr>
      <w:tc>
        <w:tcPr>
          <w:tcW w:w="8050" w:type="dxa"/>
          <w:vAlign w:val="center"/>
        </w:tcPr>
        <w:p w14:paraId="034FE9FF" w14:textId="77777777" w:rsidR="00357B5D" w:rsidRPr="00962E29" w:rsidRDefault="00357B5D" w:rsidP="00357B5D">
          <w:pPr>
            <w:tabs>
              <w:tab w:val="left" w:pos="4706"/>
              <w:tab w:val="right" w:pos="9026"/>
            </w:tabs>
            <w:rPr>
              <w:rFonts w:asciiTheme="minorHAnsi" w:hAnsiTheme="minorHAnsi" w:cstheme="minorHAnsi"/>
              <w:color w:val="000000"/>
              <w:sz w:val="12"/>
              <w:szCs w:val="12"/>
            </w:rPr>
          </w:pPr>
          <w:hyperlink r:id="rId1" w:tgtFrame="_blank" w:tooltip="p-issn" w:history="1">
            <w:r w:rsidRPr="00962E29">
              <w:rPr>
                <w:rStyle w:val="Hyperlink"/>
                <w:rFonts w:asciiTheme="minorHAnsi" w:hAnsiTheme="minorHAnsi" w:cstheme="minorHAnsi"/>
                <w:b/>
                <w:bCs/>
                <w:color w:val="101E5A"/>
                <w:u w:val="none"/>
              </w:rPr>
              <w:t>2720-9067</w:t>
            </w:r>
          </w:hyperlink>
          <w:r w:rsidRPr="00962E29">
            <w:rPr>
              <w:rFonts w:asciiTheme="minorHAnsi" w:hAnsiTheme="minorHAnsi" w:cstheme="minorHAnsi"/>
            </w:rPr>
            <w:t> (</w:t>
          </w:r>
          <w:r w:rsidRPr="00962E29">
            <w:rPr>
              <w:rFonts w:asciiTheme="minorHAnsi" w:hAnsiTheme="minorHAnsi" w:cstheme="minorHAnsi"/>
              <w:lang w:val="en-US"/>
            </w:rPr>
            <w:t>ISSN</w:t>
          </w:r>
          <w:r w:rsidRPr="00962E29">
            <w:rPr>
              <w:rFonts w:asciiTheme="minorHAnsi" w:hAnsiTheme="minorHAnsi" w:cstheme="minorHAnsi"/>
            </w:rPr>
            <w:t>), </w:t>
          </w:r>
          <w:hyperlink r:id="rId2" w:tgtFrame="_blank" w:tooltip="issn" w:history="1">
            <w:r w:rsidRPr="00962E29">
              <w:rPr>
                <w:rStyle w:val="Hyperlink"/>
                <w:rFonts w:asciiTheme="minorHAnsi" w:hAnsiTheme="minorHAnsi" w:cstheme="minorHAnsi"/>
                <w:b/>
                <w:bCs/>
                <w:color w:val="101E5A"/>
                <w:u w:val="none"/>
              </w:rPr>
              <w:t>2685-1059</w:t>
            </w:r>
          </w:hyperlink>
          <w:r w:rsidRPr="00962E29">
            <w:rPr>
              <w:rFonts w:asciiTheme="minorHAnsi" w:hAnsiTheme="minorHAnsi" w:cstheme="minorHAnsi"/>
            </w:rPr>
            <w:t> (</w:t>
          </w:r>
          <w:r w:rsidRPr="00962E29">
            <w:rPr>
              <w:rFonts w:asciiTheme="minorHAnsi" w:hAnsiTheme="minorHAnsi" w:cstheme="minorHAnsi"/>
              <w:lang w:val="en-US"/>
            </w:rPr>
            <w:t>E-ISSN</w:t>
          </w:r>
          <w:r w:rsidRPr="00962E29">
            <w:rPr>
              <w:rFonts w:asciiTheme="minorHAnsi" w:hAnsiTheme="minorHAnsi" w:cstheme="minorHAnsi"/>
            </w:rPr>
            <w:t>)</w:t>
          </w:r>
        </w:p>
        <w:p w14:paraId="2BD083BA" w14:textId="77777777" w:rsidR="00357B5D" w:rsidRPr="00022861" w:rsidRDefault="00357B5D" w:rsidP="00357B5D">
          <w:pPr>
            <w:tabs>
              <w:tab w:val="center" w:pos="4513"/>
              <w:tab w:val="right" w:pos="9026"/>
            </w:tabs>
            <w:rPr>
              <w:color w:val="000000"/>
              <w:sz w:val="16"/>
              <w:szCs w:val="16"/>
            </w:rPr>
          </w:pPr>
          <w:r w:rsidRPr="00962E29">
            <w:rPr>
              <w:i/>
              <w:iCs/>
              <w:color w:val="000000"/>
              <w:sz w:val="18"/>
              <w:szCs w:val="18"/>
              <w:lang w:val="en-US"/>
            </w:rPr>
            <w:t xml:space="preserve">open access at: </w:t>
          </w:r>
          <w:hyperlink r:id="rId3" w:history="1">
            <w:r w:rsidRPr="00962E29">
              <w:rPr>
                <w:rStyle w:val="Hyperlink"/>
                <w:i/>
                <w:iCs/>
                <w:sz w:val="18"/>
                <w:szCs w:val="18"/>
                <w:u w:val="none"/>
              </w:rPr>
              <w:t>https://akurasi.unram.ac.id</w:t>
            </w:r>
          </w:hyperlink>
        </w:p>
      </w:tc>
      <w:tc>
        <w:tcPr>
          <w:tcW w:w="737" w:type="dxa"/>
          <w:shd w:val="clear" w:color="auto" w:fill="E5DFEC" w:themeFill="accent4" w:themeFillTint="33"/>
          <w:vAlign w:val="center"/>
        </w:tcPr>
        <w:p w14:paraId="795A30DD" w14:textId="77777777" w:rsidR="00357B5D" w:rsidRPr="005D186D" w:rsidRDefault="00357B5D" w:rsidP="00357B5D">
          <w:pPr>
            <w:tabs>
              <w:tab w:val="center" w:pos="4513"/>
              <w:tab w:val="right" w:pos="9026"/>
            </w:tabs>
            <w:jc w:val="center"/>
            <w:rPr>
              <w:color w:val="000000"/>
              <w:lang w:val="en-US"/>
            </w:rPr>
          </w:pPr>
          <w:r w:rsidRPr="005B63B6">
            <w:rPr>
              <w:color w:val="000000"/>
              <w:sz w:val="18"/>
              <w:szCs w:val="18"/>
            </w:rPr>
            <w:fldChar w:fldCharType="begin"/>
          </w:r>
          <w:r w:rsidRPr="005B63B6">
            <w:rPr>
              <w:color w:val="000000"/>
              <w:sz w:val="18"/>
              <w:szCs w:val="18"/>
            </w:rPr>
            <w:instrText xml:space="preserve"> PAGE   \* MERGEFORMAT </w:instrText>
          </w:r>
          <w:r w:rsidRPr="005B63B6">
            <w:rPr>
              <w:color w:val="000000"/>
              <w:sz w:val="18"/>
              <w:szCs w:val="18"/>
            </w:rPr>
            <w:fldChar w:fldCharType="separate"/>
          </w:r>
          <w:r>
            <w:rPr>
              <w:color w:val="000000"/>
              <w:sz w:val="18"/>
              <w:szCs w:val="18"/>
            </w:rPr>
            <w:t>227</w:t>
          </w:r>
          <w:r w:rsidRPr="005B63B6">
            <w:rPr>
              <w:noProof/>
              <w:color w:val="000000"/>
              <w:sz w:val="18"/>
              <w:szCs w:val="18"/>
            </w:rPr>
            <w:fldChar w:fldCharType="end"/>
          </w:r>
        </w:p>
      </w:tc>
    </w:tr>
  </w:tbl>
  <w:p w14:paraId="5FD88BE1" w14:textId="77777777" w:rsidR="00675AEF" w:rsidRPr="00357B5D" w:rsidRDefault="00675AEF" w:rsidP="00357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7" w:type="dxa"/>
      <w:tblBorders>
        <w:top w:val="single" w:sz="4" w:space="0" w:color="B2A1C7" w:themeColor="accent4"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737"/>
    </w:tblGrid>
    <w:tr w:rsidR="00357B5D" w14:paraId="5B65FF55" w14:textId="77777777" w:rsidTr="00116580">
      <w:trPr>
        <w:trHeight w:val="567"/>
      </w:trPr>
      <w:tc>
        <w:tcPr>
          <w:tcW w:w="8050" w:type="dxa"/>
          <w:vAlign w:val="center"/>
        </w:tcPr>
        <w:p w14:paraId="6332ED8E" w14:textId="760E3415" w:rsidR="00357B5D" w:rsidRPr="00962E29" w:rsidRDefault="00357B5D" w:rsidP="00357B5D">
          <w:pPr>
            <w:tabs>
              <w:tab w:val="left" w:pos="4365"/>
              <w:tab w:val="left" w:pos="4706"/>
              <w:tab w:val="right" w:pos="9026"/>
            </w:tabs>
            <w:rPr>
              <w:color w:val="000000"/>
              <w:sz w:val="16"/>
              <w:szCs w:val="16"/>
              <w:lang w:val="en-US"/>
            </w:rPr>
          </w:pPr>
          <w:r w:rsidRPr="008A0190">
            <w:rPr>
              <w:sz w:val="16"/>
              <w:szCs w:val="16"/>
              <w:shd w:val="clear" w:color="auto" w:fill="FFFFFF"/>
            </w:rPr>
            <w:t>Copyright (c) 2025 by Author(s)</w:t>
          </w:r>
          <w:r w:rsidRPr="008A0190">
            <w:rPr>
              <w:noProof/>
              <w:color w:val="000000"/>
              <w:sz w:val="12"/>
              <w:szCs w:val="12"/>
            </w:rPr>
            <w:drawing>
              <wp:anchor distT="0" distB="0" distL="114300" distR="114300" simplePos="0" relativeHeight="251663360" behindDoc="0" locked="0" layoutInCell="1" allowOverlap="1" wp14:anchorId="1046E292" wp14:editId="0A6EC200">
                <wp:simplePos x="0" y="0"/>
                <wp:positionH relativeFrom="column">
                  <wp:posOffset>-3810</wp:posOffset>
                </wp:positionH>
                <wp:positionV relativeFrom="paragraph">
                  <wp:posOffset>1905</wp:posOffset>
                </wp:positionV>
                <wp:extent cx="612425" cy="216000"/>
                <wp:effectExtent l="0" t="0" r="0" b="0"/>
                <wp:wrapSquare wrapText="bothSides"/>
                <wp:docPr id="1591963526" name="Picture 159196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612425" cy="216000"/>
                        </a:xfrm>
                        <a:prstGeom prst="rect">
                          <a:avLst/>
                        </a:prstGeom>
                      </pic:spPr>
                    </pic:pic>
                  </a:graphicData>
                </a:graphic>
                <wp14:sizeRelH relativeFrom="page">
                  <wp14:pctWidth>0</wp14:pctWidth>
                </wp14:sizeRelH>
                <wp14:sizeRelV relativeFrom="page">
                  <wp14:pctHeight>0</wp14:pctHeight>
                </wp14:sizeRelV>
              </wp:anchor>
            </w:drawing>
          </w:r>
          <w:r w:rsidRPr="00022861">
            <w:rPr>
              <w:color w:val="000000"/>
              <w:sz w:val="16"/>
              <w:szCs w:val="16"/>
            </w:rPr>
            <w:t xml:space="preserve">. </w:t>
          </w:r>
          <w:r w:rsidR="00140DA1" w:rsidRPr="00F54242">
            <w:rPr>
              <w:rFonts w:asciiTheme="minorHAnsi" w:hAnsiTheme="minorHAnsi" w:cstheme="minorHAnsi"/>
              <w:sz w:val="16"/>
              <w:szCs w:val="16"/>
              <w:shd w:val="clear" w:color="auto" w:fill="FFFFFF"/>
            </w:rPr>
            <w:t>This work is licensed under a </w:t>
          </w:r>
          <w:hyperlink r:id="rId2" w:history="1">
            <w:r w:rsidR="00140DA1" w:rsidRPr="00F54242">
              <w:rPr>
                <w:rStyle w:val="Hyperlink"/>
                <w:rFonts w:asciiTheme="minorHAnsi" w:hAnsiTheme="minorHAnsi" w:cstheme="minorHAnsi"/>
                <w:color w:val="101E5A"/>
                <w:sz w:val="16"/>
                <w:szCs w:val="16"/>
                <w:u w:val="none"/>
                <w:shd w:val="clear" w:color="auto" w:fill="FFFFFF"/>
              </w:rPr>
              <w:t>Creative Commons Attribution-ShareAlike 4.0 International License</w:t>
            </w:r>
          </w:hyperlink>
          <w:r w:rsidR="00140DA1" w:rsidRPr="00F54242">
            <w:rPr>
              <w:rFonts w:asciiTheme="minorHAnsi" w:hAnsiTheme="minorHAnsi" w:cstheme="minorHAnsi"/>
              <w:color w:val="000000"/>
              <w:sz w:val="16"/>
              <w:szCs w:val="16"/>
            </w:rPr>
            <w:t>.</w:t>
          </w:r>
          <w:r>
            <w:rPr>
              <w:color w:val="000000"/>
              <w:sz w:val="16"/>
              <w:szCs w:val="16"/>
              <w:lang w:val="en-US"/>
            </w:rPr>
            <w:t xml:space="preserve"> DOI: </w:t>
          </w:r>
          <w:hyperlink r:id="rId3" w:history="1">
            <w:r w:rsidRPr="00D866D1">
              <w:rPr>
                <w:rStyle w:val="Hyperlink"/>
                <w:sz w:val="16"/>
                <w:szCs w:val="16"/>
                <w:lang w:val="en-US"/>
              </w:rPr>
              <w:t>https://doi.org/10.29303/akurasi.v8i2</w:t>
            </w:r>
            <w:r w:rsidRPr="00D866D1">
              <w:rPr>
                <w:rStyle w:val="Hyperlink"/>
                <w:sz w:val="16"/>
                <w:szCs w:val="16"/>
              </w:rPr>
              <w:t>.</w:t>
            </w:r>
            <w:r w:rsidRPr="00D866D1">
              <w:rPr>
                <w:rStyle w:val="Hyperlink"/>
                <w:sz w:val="16"/>
                <w:szCs w:val="16"/>
                <w:lang w:val="en-US"/>
              </w:rPr>
              <w:t>7</w:t>
            </w:r>
            <w:r w:rsidRPr="00D866D1">
              <w:rPr>
                <w:rStyle w:val="Hyperlink"/>
                <w:sz w:val="16"/>
                <w:szCs w:val="16"/>
              </w:rPr>
              <w:t>74</w:t>
            </w:r>
          </w:hyperlink>
          <w:r>
            <w:rPr>
              <w:color w:val="000000"/>
              <w:sz w:val="16"/>
              <w:szCs w:val="16"/>
              <w:lang w:val="en-US"/>
            </w:rPr>
            <w:t xml:space="preserve"> </w:t>
          </w:r>
        </w:p>
      </w:tc>
      <w:tc>
        <w:tcPr>
          <w:tcW w:w="737" w:type="dxa"/>
          <w:shd w:val="clear" w:color="auto" w:fill="E5DFEC" w:themeFill="accent4" w:themeFillTint="33"/>
          <w:vAlign w:val="center"/>
        </w:tcPr>
        <w:p w14:paraId="33D05BFE" w14:textId="77777777" w:rsidR="00357B5D" w:rsidRPr="005D186D" w:rsidRDefault="00357B5D" w:rsidP="00357B5D">
          <w:pPr>
            <w:tabs>
              <w:tab w:val="center" w:pos="4513"/>
              <w:tab w:val="right" w:pos="9026"/>
            </w:tabs>
            <w:jc w:val="center"/>
            <w:rPr>
              <w:color w:val="000000"/>
              <w:lang w:val="en-US"/>
            </w:rPr>
          </w:pPr>
          <w:r w:rsidRPr="005B63B6">
            <w:rPr>
              <w:color w:val="000000"/>
              <w:sz w:val="18"/>
              <w:szCs w:val="18"/>
            </w:rPr>
            <w:fldChar w:fldCharType="begin"/>
          </w:r>
          <w:r w:rsidRPr="005B63B6">
            <w:rPr>
              <w:color w:val="000000"/>
              <w:sz w:val="18"/>
              <w:szCs w:val="18"/>
            </w:rPr>
            <w:instrText xml:space="preserve"> PAGE   \* MERGEFORMAT </w:instrText>
          </w:r>
          <w:r w:rsidRPr="005B63B6">
            <w:rPr>
              <w:color w:val="000000"/>
              <w:sz w:val="18"/>
              <w:szCs w:val="18"/>
            </w:rPr>
            <w:fldChar w:fldCharType="separate"/>
          </w:r>
          <w:r>
            <w:rPr>
              <w:color w:val="000000"/>
              <w:sz w:val="18"/>
              <w:szCs w:val="18"/>
            </w:rPr>
            <w:t>225</w:t>
          </w:r>
          <w:r w:rsidRPr="005B63B6">
            <w:rPr>
              <w:noProof/>
              <w:color w:val="000000"/>
              <w:sz w:val="18"/>
              <w:szCs w:val="18"/>
            </w:rPr>
            <w:fldChar w:fldCharType="end"/>
          </w:r>
        </w:p>
      </w:tc>
    </w:tr>
  </w:tbl>
  <w:p w14:paraId="2F8AD5B0" w14:textId="77777777" w:rsidR="00675AEF" w:rsidRPr="00357B5D" w:rsidRDefault="00675AEF" w:rsidP="0035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DCB8" w14:textId="77777777" w:rsidR="00C0755E" w:rsidRDefault="00C0755E">
      <w:pPr>
        <w:spacing w:after="0" w:line="240" w:lineRule="auto"/>
      </w:pPr>
      <w:r>
        <w:separator/>
      </w:r>
    </w:p>
  </w:footnote>
  <w:footnote w:type="continuationSeparator" w:id="0">
    <w:p w14:paraId="0CF97D8F" w14:textId="77777777" w:rsidR="00C0755E" w:rsidRDefault="00C0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03"/>
    </w:tblGrid>
    <w:tr w:rsidR="00675AEF" w:rsidRPr="005C3A4F" w14:paraId="5DE1E9E2" w14:textId="77777777" w:rsidTr="00675AEF">
      <w:tc>
        <w:tcPr>
          <w:tcW w:w="9854" w:type="dxa"/>
          <w:vAlign w:val="center"/>
        </w:tcPr>
        <w:p w14:paraId="0238F37E" w14:textId="2C14DED9" w:rsidR="00675AEF" w:rsidRPr="005C3A4F" w:rsidRDefault="00675AEF" w:rsidP="00EF42DC">
          <w:pPr>
            <w:spacing w:after="120"/>
            <w:rPr>
              <w:rFonts w:ascii="Times New Roman" w:hAnsi="Times New Roman" w:cs="Times New Roman"/>
              <w:i/>
              <w:sz w:val="20"/>
              <w:szCs w:val="20"/>
            </w:rPr>
          </w:pPr>
          <w:r w:rsidRPr="005C3A4F">
            <w:rPr>
              <w:rFonts w:ascii="Times New Roman" w:hAnsi="Times New Roman" w:cs="Times New Roman"/>
              <w:i/>
              <w:sz w:val="20"/>
              <w:szCs w:val="20"/>
            </w:rPr>
            <w:t xml:space="preserve">Jurnal Studi Akuntansi dan Keuangan Vol. 8(2), 2025, halaman </w:t>
          </w:r>
          <w:r>
            <w:rPr>
              <w:rFonts w:ascii="Times New Roman" w:hAnsi="Times New Roman" w:cs="Times New Roman"/>
              <w:i/>
              <w:sz w:val="20"/>
              <w:szCs w:val="20"/>
            </w:rPr>
            <w:t>243</w:t>
          </w:r>
          <w:r w:rsidRPr="005C3A4F">
            <w:rPr>
              <w:rFonts w:ascii="Times New Roman" w:hAnsi="Times New Roman" w:cs="Times New Roman"/>
              <w:i/>
              <w:sz w:val="20"/>
              <w:szCs w:val="20"/>
            </w:rPr>
            <w:t>-</w:t>
          </w:r>
          <w:r>
            <w:rPr>
              <w:rFonts w:ascii="Times New Roman" w:hAnsi="Times New Roman" w:cs="Times New Roman"/>
              <w:i/>
              <w:sz w:val="20"/>
              <w:szCs w:val="20"/>
            </w:rPr>
            <w:t>264</w:t>
          </w:r>
        </w:p>
      </w:tc>
    </w:tr>
  </w:tbl>
  <w:p w14:paraId="0A9FE1F3" w14:textId="77777777" w:rsidR="00675AEF" w:rsidRPr="00EF42DC" w:rsidRDefault="00675AEF" w:rsidP="00EF4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03"/>
    </w:tblGrid>
    <w:tr w:rsidR="00675AEF" w:rsidRPr="005C3A4F" w14:paraId="300CE4F2" w14:textId="77777777" w:rsidTr="00357B5D">
      <w:tc>
        <w:tcPr>
          <w:tcW w:w="9003" w:type="dxa"/>
          <w:vAlign w:val="center"/>
        </w:tcPr>
        <w:p w14:paraId="0FAB0C8B" w14:textId="72E97EE3" w:rsidR="00675AEF" w:rsidRPr="005C3A4F" w:rsidRDefault="00675AEF" w:rsidP="00EF42DC">
          <w:pPr>
            <w:spacing w:after="120"/>
            <w:jc w:val="right"/>
            <w:rPr>
              <w:rFonts w:ascii="Times New Roman" w:hAnsi="Times New Roman" w:cs="Times New Roman"/>
              <w:i/>
              <w:sz w:val="20"/>
              <w:szCs w:val="20"/>
            </w:rPr>
          </w:pPr>
          <w:r w:rsidRPr="005C3A4F">
            <w:rPr>
              <w:rFonts w:ascii="Times New Roman" w:hAnsi="Times New Roman" w:cs="Times New Roman"/>
              <w:i/>
              <w:sz w:val="20"/>
              <w:szCs w:val="20"/>
            </w:rPr>
            <w:t xml:space="preserve">Jurnal Studi Akuntansi dan Keuangan Vol. 8(2), 2025, </w:t>
          </w:r>
          <w:r>
            <w:rPr>
              <w:rFonts w:ascii="Times New Roman" w:hAnsi="Times New Roman" w:cs="Times New Roman"/>
              <w:i/>
              <w:sz w:val="20"/>
              <w:szCs w:val="20"/>
            </w:rPr>
            <w:t>halaman</w:t>
          </w:r>
          <w:r w:rsidRPr="005C3A4F">
            <w:rPr>
              <w:rFonts w:ascii="Times New Roman" w:hAnsi="Times New Roman" w:cs="Times New Roman"/>
              <w:i/>
              <w:sz w:val="20"/>
              <w:szCs w:val="20"/>
            </w:rPr>
            <w:t xml:space="preserve"> </w:t>
          </w:r>
          <w:r>
            <w:rPr>
              <w:rFonts w:ascii="Times New Roman" w:hAnsi="Times New Roman" w:cs="Times New Roman"/>
              <w:i/>
              <w:sz w:val="20"/>
              <w:szCs w:val="20"/>
            </w:rPr>
            <w:t>243</w:t>
          </w:r>
          <w:r w:rsidRPr="005C3A4F">
            <w:rPr>
              <w:rFonts w:ascii="Times New Roman" w:hAnsi="Times New Roman" w:cs="Times New Roman"/>
              <w:i/>
              <w:sz w:val="20"/>
              <w:szCs w:val="20"/>
            </w:rPr>
            <w:t>-</w:t>
          </w:r>
          <w:r>
            <w:rPr>
              <w:rFonts w:ascii="Times New Roman" w:hAnsi="Times New Roman" w:cs="Times New Roman"/>
              <w:i/>
              <w:sz w:val="20"/>
              <w:szCs w:val="20"/>
            </w:rPr>
            <w:t>264</w:t>
          </w:r>
        </w:p>
      </w:tc>
    </w:tr>
  </w:tbl>
  <w:p w14:paraId="2D64C118" w14:textId="32ABE4F2" w:rsidR="00675AEF" w:rsidRDefault="00675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03"/>
    </w:tblGrid>
    <w:tr w:rsidR="00357B5D" w:rsidRPr="005C3A4F" w14:paraId="6F5566E8" w14:textId="77777777" w:rsidTr="00116580">
      <w:tc>
        <w:tcPr>
          <w:tcW w:w="9854" w:type="dxa"/>
          <w:vAlign w:val="center"/>
        </w:tcPr>
        <w:p w14:paraId="642EB7FE" w14:textId="19CFA34F" w:rsidR="00357B5D" w:rsidRPr="005C3A4F" w:rsidRDefault="00357B5D" w:rsidP="00357B5D">
          <w:pPr>
            <w:spacing w:after="120"/>
            <w:jc w:val="right"/>
            <w:rPr>
              <w:rFonts w:ascii="Times New Roman" w:hAnsi="Times New Roman" w:cs="Times New Roman"/>
              <w:i/>
              <w:sz w:val="20"/>
              <w:szCs w:val="20"/>
            </w:rPr>
          </w:pPr>
          <w:r w:rsidRPr="005C3A4F">
            <w:rPr>
              <w:rFonts w:ascii="Times New Roman" w:hAnsi="Times New Roman" w:cs="Times New Roman"/>
              <w:i/>
              <w:sz w:val="20"/>
              <w:szCs w:val="20"/>
            </w:rPr>
            <w:t xml:space="preserve">Jurnal Studi Akuntansi dan Keuangan Vol. 8(2), 2025, </w:t>
          </w:r>
          <w:r>
            <w:rPr>
              <w:rFonts w:ascii="Times New Roman" w:hAnsi="Times New Roman" w:cs="Times New Roman"/>
              <w:i/>
              <w:sz w:val="20"/>
              <w:szCs w:val="20"/>
            </w:rPr>
            <w:t>halaman</w:t>
          </w:r>
          <w:r w:rsidRPr="005C3A4F">
            <w:rPr>
              <w:rFonts w:ascii="Times New Roman" w:hAnsi="Times New Roman" w:cs="Times New Roman"/>
              <w:i/>
              <w:sz w:val="20"/>
              <w:szCs w:val="20"/>
            </w:rPr>
            <w:t xml:space="preserve"> </w:t>
          </w:r>
          <w:r>
            <w:rPr>
              <w:rFonts w:ascii="Times New Roman" w:hAnsi="Times New Roman" w:cs="Times New Roman"/>
              <w:i/>
              <w:sz w:val="20"/>
              <w:szCs w:val="20"/>
            </w:rPr>
            <w:t>243</w:t>
          </w:r>
          <w:r w:rsidRPr="005C3A4F">
            <w:rPr>
              <w:rFonts w:ascii="Times New Roman" w:hAnsi="Times New Roman" w:cs="Times New Roman"/>
              <w:i/>
              <w:sz w:val="20"/>
              <w:szCs w:val="20"/>
            </w:rPr>
            <w:t>-</w:t>
          </w:r>
          <w:r>
            <w:rPr>
              <w:rFonts w:ascii="Times New Roman" w:hAnsi="Times New Roman" w:cs="Times New Roman"/>
              <w:i/>
              <w:sz w:val="20"/>
              <w:szCs w:val="20"/>
            </w:rPr>
            <w:t>264</w:t>
          </w:r>
        </w:p>
      </w:tc>
    </w:tr>
  </w:tbl>
  <w:p w14:paraId="3A5182C4" w14:textId="6442727B" w:rsidR="00675AEF" w:rsidRPr="00357B5D" w:rsidRDefault="00675AEF" w:rsidP="00357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E39"/>
    <w:multiLevelType w:val="multilevel"/>
    <w:tmpl w:val="C7AE0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D0F59"/>
    <w:multiLevelType w:val="multilevel"/>
    <w:tmpl w:val="FEFA85C2"/>
    <w:lvl w:ilvl="0">
      <w:start w:val="1"/>
      <w:numFmt w:val="decimal"/>
      <w:lvlText w:val="%1."/>
      <w:lvlJc w:val="left"/>
      <w:pPr>
        <w:ind w:left="720" w:hanging="360"/>
      </w:pPr>
    </w:lvl>
    <w:lvl w:ilvl="1">
      <w:start w:val="1"/>
      <w:numFmt w:val="decimal"/>
      <w:lvlText w:val="%1.%2."/>
      <w:lvlJc w:val="left"/>
      <w:pPr>
        <w:ind w:left="720" w:hanging="360"/>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2" w15:restartNumberingAfterBreak="0">
    <w:nsid w:val="3A9B0CB8"/>
    <w:multiLevelType w:val="hybridMultilevel"/>
    <w:tmpl w:val="53F69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B764B"/>
    <w:multiLevelType w:val="hybridMultilevel"/>
    <w:tmpl w:val="DD7EE52E"/>
    <w:lvl w:ilvl="0" w:tplc="1B04D6A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A124E"/>
    <w:multiLevelType w:val="hybridMultilevel"/>
    <w:tmpl w:val="1A766AAA"/>
    <w:lvl w:ilvl="0" w:tplc="1B04D6A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07284"/>
    <w:multiLevelType w:val="hybridMultilevel"/>
    <w:tmpl w:val="EAE61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814E50"/>
    <w:multiLevelType w:val="hybridMultilevel"/>
    <w:tmpl w:val="D74A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AA645D"/>
    <w:multiLevelType w:val="hybridMultilevel"/>
    <w:tmpl w:val="803038D4"/>
    <w:lvl w:ilvl="0" w:tplc="721E6C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F9001C9"/>
    <w:multiLevelType w:val="hybridMultilevel"/>
    <w:tmpl w:val="630E7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96537">
    <w:abstractNumId w:val="1"/>
  </w:num>
  <w:num w:numId="2" w16cid:durableId="46341111">
    <w:abstractNumId w:val="7"/>
  </w:num>
  <w:num w:numId="3" w16cid:durableId="59328186">
    <w:abstractNumId w:val="2"/>
  </w:num>
  <w:num w:numId="4" w16cid:durableId="1769961262">
    <w:abstractNumId w:val="4"/>
  </w:num>
  <w:num w:numId="5" w16cid:durableId="1040520484">
    <w:abstractNumId w:val="3"/>
  </w:num>
  <w:num w:numId="6" w16cid:durableId="881601420">
    <w:abstractNumId w:val="8"/>
  </w:num>
  <w:num w:numId="7" w16cid:durableId="1226529659">
    <w:abstractNumId w:val="5"/>
  </w:num>
  <w:num w:numId="8" w16cid:durableId="1992754909">
    <w:abstractNumId w:val="0"/>
  </w:num>
  <w:num w:numId="9" w16cid:durableId="1412313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NTazMLC0NDI3NjNQ0lEKTi0uzszPAymwqAUA5or7vywAAAA="/>
  </w:docVars>
  <w:rsids>
    <w:rsidRoot w:val="00133893"/>
    <w:rsid w:val="00002F83"/>
    <w:rsid w:val="00003038"/>
    <w:rsid w:val="00013F71"/>
    <w:rsid w:val="00037D76"/>
    <w:rsid w:val="000411A1"/>
    <w:rsid w:val="000468D0"/>
    <w:rsid w:val="00050281"/>
    <w:rsid w:val="00053402"/>
    <w:rsid w:val="0005422D"/>
    <w:rsid w:val="00060BD2"/>
    <w:rsid w:val="00074952"/>
    <w:rsid w:val="00091B99"/>
    <w:rsid w:val="000A2D26"/>
    <w:rsid w:val="000A73EA"/>
    <w:rsid w:val="000C39F3"/>
    <w:rsid w:val="000C3E8C"/>
    <w:rsid w:val="000F1CA0"/>
    <w:rsid w:val="000F63DE"/>
    <w:rsid w:val="0010430E"/>
    <w:rsid w:val="00104E33"/>
    <w:rsid w:val="00110095"/>
    <w:rsid w:val="00124EDB"/>
    <w:rsid w:val="00133893"/>
    <w:rsid w:val="00140DA1"/>
    <w:rsid w:val="001426EA"/>
    <w:rsid w:val="001455CE"/>
    <w:rsid w:val="00153408"/>
    <w:rsid w:val="001560F6"/>
    <w:rsid w:val="001569FA"/>
    <w:rsid w:val="00187D6F"/>
    <w:rsid w:val="00194DE4"/>
    <w:rsid w:val="001A7E13"/>
    <w:rsid w:val="001B4994"/>
    <w:rsid w:val="001E1BE0"/>
    <w:rsid w:val="001F2103"/>
    <w:rsid w:val="001F2855"/>
    <w:rsid w:val="001F50EF"/>
    <w:rsid w:val="001F5268"/>
    <w:rsid w:val="001F5C17"/>
    <w:rsid w:val="00200E2D"/>
    <w:rsid w:val="0020282E"/>
    <w:rsid w:val="00205049"/>
    <w:rsid w:val="00207041"/>
    <w:rsid w:val="002174F4"/>
    <w:rsid w:val="002461BE"/>
    <w:rsid w:val="00251035"/>
    <w:rsid w:val="00253714"/>
    <w:rsid w:val="00257410"/>
    <w:rsid w:val="002652DD"/>
    <w:rsid w:val="00272188"/>
    <w:rsid w:val="0027268A"/>
    <w:rsid w:val="00272F23"/>
    <w:rsid w:val="00275AB2"/>
    <w:rsid w:val="00276598"/>
    <w:rsid w:val="002768B7"/>
    <w:rsid w:val="00291F5E"/>
    <w:rsid w:val="002A1F67"/>
    <w:rsid w:val="002B1F56"/>
    <w:rsid w:val="002C008D"/>
    <w:rsid w:val="002C3111"/>
    <w:rsid w:val="002C36FF"/>
    <w:rsid w:val="002D2F81"/>
    <w:rsid w:val="002F0268"/>
    <w:rsid w:val="002F1461"/>
    <w:rsid w:val="00301863"/>
    <w:rsid w:val="00302156"/>
    <w:rsid w:val="003051A3"/>
    <w:rsid w:val="00314278"/>
    <w:rsid w:val="00314AE6"/>
    <w:rsid w:val="00326B65"/>
    <w:rsid w:val="00327CE5"/>
    <w:rsid w:val="00330E4D"/>
    <w:rsid w:val="003354CC"/>
    <w:rsid w:val="0033550F"/>
    <w:rsid w:val="003403EC"/>
    <w:rsid w:val="00354C06"/>
    <w:rsid w:val="003553FA"/>
    <w:rsid w:val="00357B5D"/>
    <w:rsid w:val="00361DD1"/>
    <w:rsid w:val="00364479"/>
    <w:rsid w:val="00374F9D"/>
    <w:rsid w:val="00377822"/>
    <w:rsid w:val="00381087"/>
    <w:rsid w:val="00382BB1"/>
    <w:rsid w:val="0038785F"/>
    <w:rsid w:val="00392697"/>
    <w:rsid w:val="003B1725"/>
    <w:rsid w:val="003C2E7B"/>
    <w:rsid w:val="003C40F0"/>
    <w:rsid w:val="003C64B0"/>
    <w:rsid w:val="003C7BEA"/>
    <w:rsid w:val="003D2650"/>
    <w:rsid w:val="003D6900"/>
    <w:rsid w:val="003D7343"/>
    <w:rsid w:val="003D7685"/>
    <w:rsid w:val="003E77C4"/>
    <w:rsid w:val="003F681C"/>
    <w:rsid w:val="00403847"/>
    <w:rsid w:val="004065D2"/>
    <w:rsid w:val="0041745C"/>
    <w:rsid w:val="0044679E"/>
    <w:rsid w:val="0045227A"/>
    <w:rsid w:val="004637FB"/>
    <w:rsid w:val="00466359"/>
    <w:rsid w:val="0047611A"/>
    <w:rsid w:val="0048181E"/>
    <w:rsid w:val="00481FE1"/>
    <w:rsid w:val="00483593"/>
    <w:rsid w:val="00483913"/>
    <w:rsid w:val="00483DE4"/>
    <w:rsid w:val="00484662"/>
    <w:rsid w:val="00486289"/>
    <w:rsid w:val="00487A9E"/>
    <w:rsid w:val="00497207"/>
    <w:rsid w:val="00497A9E"/>
    <w:rsid w:val="004A1730"/>
    <w:rsid w:val="004B1130"/>
    <w:rsid w:val="004B3BD8"/>
    <w:rsid w:val="004B44BA"/>
    <w:rsid w:val="004C34EC"/>
    <w:rsid w:val="004C4BC8"/>
    <w:rsid w:val="004D02FA"/>
    <w:rsid w:val="004E0F47"/>
    <w:rsid w:val="004E103C"/>
    <w:rsid w:val="004F031C"/>
    <w:rsid w:val="00504894"/>
    <w:rsid w:val="00511A07"/>
    <w:rsid w:val="005123AC"/>
    <w:rsid w:val="005130DE"/>
    <w:rsid w:val="00521BCF"/>
    <w:rsid w:val="0052416F"/>
    <w:rsid w:val="00533DFF"/>
    <w:rsid w:val="00540CB5"/>
    <w:rsid w:val="00542793"/>
    <w:rsid w:val="005465BE"/>
    <w:rsid w:val="00551883"/>
    <w:rsid w:val="00570799"/>
    <w:rsid w:val="00571887"/>
    <w:rsid w:val="00572518"/>
    <w:rsid w:val="005749C3"/>
    <w:rsid w:val="005757F8"/>
    <w:rsid w:val="00576F29"/>
    <w:rsid w:val="005948B9"/>
    <w:rsid w:val="00597874"/>
    <w:rsid w:val="005C1EE9"/>
    <w:rsid w:val="005C371E"/>
    <w:rsid w:val="005D693F"/>
    <w:rsid w:val="005D6BBD"/>
    <w:rsid w:val="005D7561"/>
    <w:rsid w:val="005E1650"/>
    <w:rsid w:val="005F2E1B"/>
    <w:rsid w:val="006012D2"/>
    <w:rsid w:val="00603AA3"/>
    <w:rsid w:val="00610740"/>
    <w:rsid w:val="00610DBA"/>
    <w:rsid w:val="006124FD"/>
    <w:rsid w:val="00614FD3"/>
    <w:rsid w:val="0062286E"/>
    <w:rsid w:val="006269AD"/>
    <w:rsid w:val="00633C09"/>
    <w:rsid w:val="006425F5"/>
    <w:rsid w:val="006443B9"/>
    <w:rsid w:val="00645B0A"/>
    <w:rsid w:val="006557EB"/>
    <w:rsid w:val="00656490"/>
    <w:rsid w:val="00656C87"/>
    <w:rsid w:val="006605D9"/>
    <w:rsid w:val="00675AEF"/>
    <w:rsid w:val="00682E8B"/>
    <w:rsid w:val="00685695"/>
    <w:rsid w:val="006A1D28"/>
    <w:rsid w:val="006B5277"/>
    <w:rsid w:val="006C1164"/>
    <w:rsid w:val="006C1ECD"/>
    <w:rsid w:val="006C4726"/>
    <w:rsid w:val="006C654E"/>
    <w:rsid w:val="006D46E8"/>
    <w:rsid w:val="006E0E29"/>
    <w:rsid w:val="006E1E20"/>
    <w:rsid w:val="006E2C73"/>
    <w:rsid w:val="006E6BED"/>
    <w:rsid w:val="006F4005"/>
    <w:rsid w:val="00700DED"/>
    <w:rsid w:val="00710CF4"/>
    <w:rsid w:val="007122A0"/>
    <w:rsid w:val="00713CC9"/>
    <w:rsid w:val="00716920"/>
    <w:rsid w:val="007205E6"/>
    <w:rsid w:val="00721FEC"/>
    <w:rsid w:val="00722571"/>
    <w:rsid w:val="007344D4"/>
    <w:rsid w:val="0073549F"/>
    <w:rsid w:val="007356D4"/>
    <w:rsid w:val="00743415"/>
    <w:rsid w:val="0074444A"/>
    <w:rsid w:val="0075023F"/>
    <w:rsid w:val="00752589"/>
    <w:rsid w:val="0075688F"/>
    <w:rsid w:val="00763A5C"/>
    <w:rsid w:val="00790624"/>
    <w:rsid w:val="0079424E"/>
    <w:rsid w:val="007948A3"/>
    <w:rsid w:val="007B2A34"/>
    <w:rsid w:val="007B2DF4"/>
    <w:rsid w:val="007D1299"/>
    <w:rsid w:val="007D7094"/>
    <w:rsid w:val="007E2865"/>
    <w:rsid w:val="007E43BF"/>
    <w:rsid w:val="007F4C58"/>
    <w:rsid w:val="007F4D6D"/>
    <w:rsid w:val="00800EA5"/>
    <w:rsid w:val="00810EE4"/>
    <w:rsid w:val="00813F3B"/>
    <w:rsid w:val="00820FD5"/>
    <w:rsid w:val="00826E97"/>
    <w:rsid w:val="00830D97"/>
    <w:rsid w:val="00836EF0"/>
    <w:rsid w:val="0084069D"/>
    <w:rsid w:val="00855207"/>
    <w:rsid w:val="00855D6A"/>
    <w:rsid w:val="008768BA"/>
    <w:rsid w:val="0088560A"/>
    <w:rsid w:val="00895606"/>
    <w:rsid w:val="008A7602"/>
    <w:rsid w:val="008B38F8"/>
    <w:rsid w:val="008C4A01"/>
    <w:rsid w:val="008D5B7C"/>
    <w:rsid w:val="008F23B6"/>
    <w:rsid w:val="008F703E"/>
    <w:rsid w:val="009060AB"/>
    <w:rsid w:val="00914724"/>
    <w:rsid w:val="00927937"/>
    <w:rsid w:val="00933A0F"/>
    <w:rsid w:val="00933B1A"/>
    <w:rsid w:val="009346BF"/>
    <w:rsid w:val="00946885"/>
    <w:rsid w:val="0094761C"/>
    <w:rsid w:val="00957C62"/>
    <w:rsid w:val="00960C95"/>
    <w:rsid w:val="00967E6A"/>
    <w:rsid w:val="00986567"/>
    <w:rsid w:val="0099292E"/>
    <w:rsid w:val="00996CEA"/>
    <w:rsid w:val="009A08C3"/>
    <w:rsid w:val="009B431A"/>
    <w:rsid w:val="009B6DFC"/>
    <w:rsid w:val="009D0C2E"/>
    <w:rsid w:val="009D117C"/>
    <w:rsid w:val="009D3A0E"/>
    <w:rsid w:val="009D7FF5"/>
    <w:rsid w:val="009E2A49"/>
    <w:rsid w:val="009E4EF9"/>
    <w:rsid w:val="009F3407"/>
    <w:rsid w:val="00A01493"/>
    <w:rsid w:val="00A0275A"/>
    <w:rsid w:val="00A04A3D"/>
    <w:rsid w:val="00A060ED"/>
    <w:rsid w:val="00A1701E"/>
    <w:rsid w:val="00A171FB"/>
    <w:rsid w:val="00A205F6"/>
    <w:rsid w:val="00A23597"/>
    <w:rsid w:val="00A27114"/>
    <w:rsid w:val="00A32D13"/>
    <w:rsid w:val="00A34E70"/>
    <w:rsid w:val="00A37438"/>
    <w:rsid w:val="00A4418A"/>
    <w:rsid w:val="00A441A1"/>
    <w:rsid w:val="00A50CC7"/>
    <w:rsid w:val="00A533FB"/>
    <w:rsid w:val="00A57296"/>
    <w:rsid w:val="00A764CC"/>
    <w:rsid w:val="00A8247F"/>
    <w:rsid w:val="00A84DD6"/>
    <w:rsid w:val="00A93ACC"/>
    <w:rsid w:val="00AA09FD"/>
    <w:rsid w:val="00AA0AD7"/>
    <w:rsid w:val="00AB1501"/>
    <w:rsid w:val="00AB3D08"/>
    <w:rsid w:val="00AC0059"/>
    <w:rsid w:val="00AC7204"/>
    <w:rsid w:val="00AD0B47"/>
    <w:rsid w:val="00AD227A"/>
    <w:rsid w:val="00AE77DA"/>
    <w:rsid w:val="00B00E7F"/>
    <w:rsid w:val="00B04D8A"/>
    <w:rsid w:val="00B13387"/>
    <w:rsid w:val="00B21470"/>
    <w:rsid w:val="00B222E7"/>
    <w:rsid w:val="00B37899"/>
    <w:rsid w:val="00B46924"/>
    <w:rsid w:val="00B47333"/>
    <w:rsid w:val="00B559A3"/>
    <w:rsid w:val="00B61ED1"/>
    <w:rsid w:val="00B672FD"/>
    <w:rsid w:val="00B7538C"/>
    <w:rsid w:val="00B75FA8"/>
    <w:rsid w:val="00B7636D"/>
    <w:rsid w:val="00B77FDA"/>
    <w:rsid w:val="00B84D15"/>
    <w:rsid w:val="00BB0938"/>
    <w:rsid w:val="00BB4F03"/>
    <w:rsid w:val="00BB7E5F"/>
    <w:rsid w:val="00BC707D"/>
    <w:rsid w:val="00BD1B30"/>
    <w:rsid w:val="00BE5C87"/>
    <w:rsid w:val="00C0731B"/>
    <w:rsid w:val="00C0755E"/>
    <w:rsid w:val="00C0782B"/>
    <w:rsid w:val="00C2059B"/>
    <w:rsid w:val="00C222A3"/>
    <w:rsid w:val="00C26EDF"/>
    <w:rsid w:val="00C403F5"/>
    <w:rsid w:val="00C42EF4"/>
    <w:rsid w:val="00C50ECD"/>
    <w:rsid w:val="00C63F34"/>
    <w:rsid w:val="00C646E8"/>
    <w:rsid w:val="00C754E7"/>
    <w:rsid w:val="00C9292F"/>
    <w:rsid w:val="00CB0E5D"/>
    <w:rsid w:val="00CC19C9"/>
    <w:rsid w:val="00CC1D5B"/>
    <w:rsid w:val="00CC5018"/>
    <w:rsid w:val="00CE4556"/>
    <w:rsid w:val="00CF13B7"/>
    <w:rsid w:val="00CF2ACB"/>
    <w:rsid w:val="00CF4787"/>
    <w:rsid w:val="00CF4D18"/>
    <w:rsid w:val="00D01C3C"/>
    <w:rsid w:val="00D06D9B"/>
    <w:rsid w:val="00D13DD5"/>
    <w:rsid w:val="00D21B9E"/>
    <w:rsid w:val="00D25D7E"/>
    <w:rsid w:val="00D27305"/>
    <w:rsid w:val="00D27B45"/>
    <w:rsid w:val="00D30F84"/>
    <w:rsid w:val="00D33966"/>
    <w:rsid w:val="00D37E84"/>
    <w:rsid w:val="00D40BB9"/>
    <w:rsid w:val="00D45195"/>
    <w:rsid w:val="00D6529F"/>
    <w:rsid w:val="00D72012"/>
    <w:rsid w:val="00D77191"/>
    <w:rsid w:val="00D80DC4"/>
    <w:rsid w:val="00D8553E"/>
    <w:rsid w:val="00DC2239"/>
    <w:rsid w:val="00DC4588"/>
    <w:rsid w:val="00DD6EBC"/>
    <w:rsid w:val="00DE0E29"/>
    <w:rsid w:val="00DE458B"/>
    <w:rsid w:val="00DF549E"/>
    <w:rsid w:val="00E068C8"/>
    <w:rsid w:val="00E136D1"/>
    <w:rsid w:val="00E24871"/>
    <w:rsid w:val="00E4335C"/>
    <w:rsid w:val="00E470B6"/>
    <w:rsid w:val="00E63ED8"/>
    <w:rsid w:val="00E66029"/>
    <w:rsid w:val="00E70922"/>
    <w:rsid w:val="00E7355C"/>
    <w:rsid w:val="00E7523F"/>
    <w:rsid w:val="00E86562"/>
    <w:rsid w:val="00E94BCA"/>
    <w:rsid w:val="00E94FC1"/>
    <w:rsid w:val="00E971A3"/>
    <w:rsid w:val="00EB4D33"/>
    <w:rsid w:val="00EC671F"/>
    <w:rsid w:val="00ED6499"/>
    <w:rsid w:val="00EE298C"/>
    <w:rsid w:val="00EE5581"/>
    <w:rsid w:val="00EF42DC"/>
    <w:rsid w:val="00F044E1"/>
    <w:rsid w:val="00F23447"/>
    <w:rsid w:val="00F270F6"/>
    <w:rsid w:val="00F34F20"/>
    <w:rsid w:val="00F37789"/>
    <w:rsid w:val="00F428C4"/>
    <w:rsid w:val="00F43FE4"/>
    <w:rsid w:val="00F606FF"/>
    <w:rsid w:val="00F66612"/>
    <w:rsid w:val="00F84288"/>
    <w:rsid w:val="00F91F81"/>
    <w:rsid w:val="00F96FC4"/>
    <w:rsid w:val="00FA2ED6"/>
    <w:rsid w:val="00FA32AC"/>
    <w:rsid w:val="00FA5873"/>
    <w:rsid w:val="00FB01A7"/>
    <w:rsid w:val="00FD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F285"/>
  <w15:docId w15:val="{D3C8C57E-C432-AB48-A49A-E2810542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81BE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qFormat/>
    <w:rsid w:val="008D25D3"/>
    <w:rPr>
      <w:color w:val="0000FF" w:themeColor="hyperlink"/>
      <w:u w:val="single"/>
    </w:rPr>
  </w:style>
  <w:style w:type="paragraph" w:styleId="FootnoteText">
    <w:name w:val="footnote text"/>
    <w:basedOn w:val="Normal"/>
    <w:link w:val="FootnoteTextChar"/>
    <w:uiPriority w:val="99"/>
    <w:semiHidden/>
    <w:unhideWhenUsed/>
    <w:rsid w:val="00A4606D"/>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semiHidden/>
    <w:rsid w:val="00A4606D"/>
    <w:rPr>
      <w:rFonts w:eastAsiaTheme="minorEastAsia"/>
      <w:sz w:val="20"/>
      <w:szCs w:val="20"/>
      <w:lang w:val="id-ID" w:eastAsia="id-ID"/>
    </w:rPr>
  </w:style>
  <w:style w:type="character" w:styleId="FootnoteReference">
    <w:name w:val="footnote reference"/>
    <w:basedOn w:val="DefaultParagraphFont"/>
    <w:uiPriority w:val="99"/>
    <w:semiHidden/>
    <w:unhideWhenUsed/>
    <w:rsid w:val="00A4606D"/>
    <w:rPr>
      <w:vertAlign w:val="superscript"/>
    </w:rPr>
  </w:style>
  <w:style w:type="paragraph" w:styleId="ListParagraph">
    <w:name w:val="List Paragraph"/>
    <w:basedOn w:val="Normal"/>
    <w:uiPriority w:val="34"/>
    <w:qFormat/>
    <w:rsid w:val="005F0763"/>
    <w:pPr>
      <w:ind w:left="720"/>
      <w:contextualSpacing/>
    </w:pPr>
  </w:style>
  <w:style w:type="paragraph" w:customStyle="1" w:styleId="Default">
    <w:name w:val="Default"/>
    <w:rsid w:val="005F0763"/>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table" w:styleId="TableGrid">
    <w:name w:val="Table Grid"/>
    <w:basedOn w:val="TableNormal"/>
    <w:uiPriority w:val="59"/>
    <w:qFormat/>
    <w:rsid w:val="00F57AFF"/>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8EE"/>
    <w:rPr>
      <w:rFonts w:ascii="Tahoma" w:hAnsi="Tahoma" w:cs="Tahoma"/>
      <w:sz w:val="16"/>
      <w:szCs w:val="16"/>
    </w:rPr>
  </w:style>
  <w:style w:type="table" w:customStyle="1" w:styleId="MediumList11">
    <w:name w:val="Medium List 11"/>
    <w:basedOn w:val="TableNormal"/>
    <w:uiPriority w:val="65"/>
    <w:rsid w:val="00EC47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275B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0">
    <w:name w:val="Medium List 11"/>
    <w:basedOn w:val="TableNormal"/>
    <w:uiPriority w:val="65"/>
    <w:rsid w:val="00541E2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2B7474"/>
    <w:rPr>
      <w:sz w:val="16"/>
      <w:szCs w:val="16"/>
    </w:rPr>
  </w:style>
  <w:style w:type="paragraph" w:styleId="CommentText">
    <w:name w:val="annotation text"/>
    <w:basedOn w:val="Normal"/>
    <w:link w:val="CommentTextChar"/>
    <w:uiPriority w:val="99"/>
    <w:unhideWhenUsed/>
    <w:rsid w:val="002B7474"/>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2B7474"/>
    <w:rPr>
      <w:rFonts w:eastAsiaTheme="minorEastAsia"/>
      <w:sz w:val="20"/>
      <w:szCs w:val="20"/>
      <w:lang w:val="id-ID" w:eastAsia="id-ID"/>
    </w:rPr>
  </w:style>
  <w:style w:type="paragraph" w:styleId="Header">
    <w:name w:val="header"/>
    <w:basedOn w:val="Normal"/>
    <w:link w:val="HeaderChar"/>
    <w:uiPriority w:val="99"/>
    <w:unhideWhenUsed/>
    <w:qFormat/>
    <w:rsid w:val="00EE324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E3240"/>
  </w:style>
  <w:style w:type="paragraph" w:styleId="Footer">
    <w:name w:val="footer"/>
    <w:basedOn w:val="Normal"/>
    <w:link w:val="FooterChar"/>
    <w:uiPriority w:val="99"/>
    <w:unhideWhenUsed/>
    <w:qFormat/>
    <w:rsid w:val="00EE324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E3240"/>
  </w:style>
  <w:style w:type="character" w:customStyle="1" w:styleId="A1">
    <w:name w:val="A1"/>
    <w:uiPriority w:val="99"/>
    <w:rsid w:val="00F94602"/>
    <w:rPr>
      <w:rFonts w:cs="Minion Pro"/>
      <w:color w:val="000000"/>
      <w:sz w:val="20"/>
      <w:szCs w:val="20"/>
    </w:rPr>
  </w:style>
  <w:style w:type="character" w:customStyle="1" w:styleId="medium-normal1">
    <w:name w:val="medium-normal1"/>
    <w:uiPriority w:val="99"/>
    <w:rsid w:val="00F94602"/>
    <w:rPr>
      <w:i/>
      <w:iCs/>
      <w:color w:val="000000"/>
    </w:rPr>
  </w:style>
  <w:style w:type="paragraph" w:styleId="DocumentMap">
    <w:name w:val="Document Map"/>
    <w:basedOn w:val="Normal"/>
    <w:link w:val="DocumentMapChar"/>
    <w:uiPriority w:val="99"/>
    <w:semiHidden/>
    <w:unhideWhenUsed/>
    <w:rsid w:val="00797FA7"/>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97FA7"/>
    <w:rPr>
      <w:rFonts w:ascii="Lucida Grande" w:hAnsi="Lucida Grande"/>
      <w:sz w:val="24"/>
      <w:szCs w:val="24"/>
    </w:rPr>
  </w:style>
  <w:style w:type="paragraph" w:styleId="CommentSubject">
    <w:name w:val="annotation subject"/>
    <w:basedOn w:val="CommentText"/>
    <w:next w:val="CommentText"/>
    <w:link w:val="CommentSubjectChar"/>
    <w:uiPriority w:val="99"/>
    <w:semiHidden/>
    <w:unhideWhenUsed/>
    <w:rsid w:val="00797FA7"/>
    <w:rPr>
      <w:rFonts w:eastAsiaTheme="minorHAnsi"/>
      <w:b/>
      <w:bCs/>
      <w:lang w:val="en-US" w:eastAsia="en-US"/>
    </w:rPr>
  </w:style>
  <w:style w:type="character" w:customStyle="1" w:styleId="CommentSubjectChar">
    <w:name w:val="Comment Subject Char"/>
    <w:basedOn w:val="CommentTextChar"/>
    <w:link w:val="CommentSubject"/>
    <w:uiPriority w:val="99"/>
    <w:semiHidden/>
    <w:rsid w:val="00797FA7"/>
    <w:rPr>
      <w:rFonts w:eastAsiaTheme="minorEastAsia"/>
      <w:b/>
      <w:bCs/>
      <w:sz w:val="20"/>
      <w:szCs w:val="20"/>
      <w:lang w:val="id-ID" w:eastAsia="id-ID"/>
    </w:rPr>
  </w:style>
  <w:style w:type="paragraph" w:customStyle="1" w:styleId="ElsAbstractHead">
    <w:name w:val="Els_AbstractHead"/>
    <w:rsid w:val="0022359C"/>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22359C"/>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22359C"/>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22359C"/>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22359C"/>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22359C"/>
    <w:pPr>
      <w:spacing w:after="120" w:line="220" w:lineRule="exact"/>
      <w:ind w:firstLine="230"/>
      <w:jc w:val="both"/>
    </w:pPr>
    <w:rPr>
      <w:rFonts w:ascii="Times New Roman" w:eastAsia="Times New Roman" w:hAnsi="Times New Roman" w:cs="Times New Roman"/>
      <w:sz w:val="19"/>
      <w:szCs w:val="20"/>
    </w:rPr>
  </w:style>
  <w:style w:type="paragraph" w:customStyle="1" w:styleId="Body0">
    <w:name w:val="Body 0"/>
    <w:basedOn w:val="Normal"/>
    <w:rsid w:val="00352C76"/>
    <w:pPr>
      <w:spacing w:after="0" w:line="360" w:lineRule="atLeast"/>
      <w:jc w:val="both"/>
    </w:pPr>
    <w:rPr>
      <w:rFonts w:ascii="Palatino" w:eastAsia="Times New Roman" w:hAnsi="Palatino" w:cs="Times New Roman"/>
      <w:sz w:val="24"/>
      <w:szCs w:val="24"/>
    </w:rPr>
  </w:style>
  <w:style w:type="paragraph" w:customStyle="1" w:styleId="ElsHeading1">
    <w:name w:val="Els_Heading1"/>
    <w:next w:val="ElsParagraph"/>
    <w:rsid w:val="00BF433C"/>
    <w:pPr>
      <w:keepNext/>
      <w:spacing w:before="160" w:after="160" w:line="210" w:lineRule="exact"/>
    </w:pPr>
    <w:rPr>
      <w:rFonts w:ascii="Times New Roman" w:eastAsia="Times New Roman" w:hAnsi="Times New Roman" w:cs="Times New Roman"/>
      <w:b/>
      <w:bCs/>
      <w:sz w:val="19"/>
      <w:szCs w:val="20"/>
    </w:rPr>
  </w:style>
  <w:style w:type="character" w:customStyle="1" w:styleId="Heading2Char">
    <w:name w:val="Heading 2 Char"/>
    <w:basedOn w:val="DefaultParagraphFont"/>
    <w:link w:val="Heading2"/>
    <w:rsid w:val="00881BE3"/>
    <w:rPr>
      <w:rFonts w:ascii="Cambria" w:eastAsia="Times New Roman" w:hAnsi="Cambria" w:cs="Times New Roman"/>
      <w:b/>
      <w:bCs/>
      <w:i/>
      <w:iCs/>
      <w:sz w:val="28"/>
      <w:szCs w:val="28"/>
    </w:rPr>
  </w:style>
  <w:style w:type="paragraph" w:customStyle="1" w:styleId="Text">
    <w:name w:val="Text"/>
    <w:basedOn w:val="Normal"/>
    <w:rsid w:val="00881BE3"/>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UnresolvedMention1">
    <w:name w:val="Unresolved Mention1"/>
    <w:basedOn w:val="DefaultParagraphFont"/>
    <w:uiPriority w:val="99"/>
    <w:semiHidden/>
    <w:unhideWhenUsed/>
    <w:rsid w:val="007F74D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361DD1"/>
    <w:rPr>
      <w:color w:val="605E5C"/>
      <w:shd w:val="clear" w:color="auto" w:fill="E1DFDD"/>
    </w:rPr>
  </w:style>
  <w:style w:type="table" w:customStyle="1" w:styleId="PlainTable21">
    <w:name w:val="Plain Table 21"/>
    <w:basedOn w:val="TableNormal"/>
    <w:uiPriority w:val="42"/>
    <w:rsid w:val="001F21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72F23"/>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364479"/>
    <w:rPr>
      <w:color w:val="800080" w:themeColor="followedHyperlink"/>
      <w:u w:val="single"/>
    </w:rPr>
  </w:style>
  <w:style w:type="table" w:customStyle="1" w:styleId="1">
    <w:name w:val="1"/>
    <w:basedOn w:val="TableNormal"/>
    <w:rsid w:val="00597874"/>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466359"/>
    <w:rPr>
      <w:color w:val="605E5C"/>
      <w:shd w:val="clear" w:color="auto" w:fill="E1DFDD"/>
    </w:rPr>
  </w:style>
  <w:style w:type="character" w:styleId="LineNumber">
    <w:name w:val="line number"/>
    <w:basedOn w:val="DefaultParagraphFont"/>
    <w:uiPriority w:val="99"/>
    <w:semiHidden/>
    <w:unhideWhenUsed/>
    <w:rsid w:val="005757F8"/>
  </w:style>
  <w:style w:type="paragraph" w:styleId="Revision">
    <w:name w:val="Revision"/>
    <w:hidden/>
    <w:uiPriority w:val="99"/>
    <w:semiHidden/>
    <w:rsid w:val="00CF2ACB"/>
    <w:pPr>
      <w:spacing w:after="0" w:line="240" w:lineRule="auto"/>
    </w:pPr>
  </w:style>
  <w:style w:type="character" w:customStyle="1" w:styleId="UnresolvedMention4">
    <w:name w:val="Unresolved Mention4"/>
    <w:basedOn w:val="DefaultParagraphFont"/>
    <w:uiPriority w:val="99"/>
    <w:semiHidden/>
    <w:unhideWhenUsed/>
    <w:rsid w:val="00374F9D"/>
    <w:rPr>
      <w:color w:val="605E5C"/>
      <w:shd w:val="clear" w:color="auto" w:fill="E1DFDD"/>
    </w:rPr>
  </w:style>
  <w:style w:type="table" w:customStyle="1" w:styleId="Style47">
    <w:name w:val="_Style 47"/>
    <w:basedOn w:val="TableNormal"/>
    <w:qFormat/>
    <w:rsid w:val="00B77FDA"/>
    <w:pPr>
      <w:spacing w:after="0" w:line="240" w:lineRule="auto"/>
    </w:pPr>
    <w:rPr>
      <w:color w:val="000000"/>
      <w:sz w:val="20"/>
      <w:szCs w:val="20"/>
    </w:rPr>
    <w:tblPr/>
  </w:style>
  <w:style w:type="character" w:customStyle="1" w:styleId="UnresolvedMention5">
    <w:name w:val="Unresolved Mention5"/>
    <w:basedOn w:val="DefaultParagraphFont"/>
    <w:uiPriority w:val="99"/>
    <w:semiHidden/>
    <w:unhideWhenUsed/>
    <w:rsid w:val="00B77FDA"/>
    <w:rPr>
      <w:color w:val="605E5C"/>
      <w:shd w:val="clear" w:color="auto" w:fill="E1DFDD"/>
    </w:rPr>
  </w:style>
  <w:style w:type="table" w:customStyle="1" w:styleId="4">
    <w:name w:val="4"/>
    <w:basedOn w:val="TableNormal"/>
    <w:rsid w:val="0094761C"/>
    <w:rPr>
      <w:lang w:eastAsia="en-ID"/>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35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8408">
      <w:bodyDiv w:val="1"/>
      <w:marLeft w:val="0"/>
      <w:marRight w:val="0"/>
      <w:marTop w:val="0"/>
      <w:marBottom w:val="0"/>
      <w:divBdr>
        <w:top w:val="none" w:sz="0" w:space="0" w:color="auto"/>
        <w:left w:val="none" w:sz="0" w:space="0" w:color="auto"/>
        <w:bottom w:val="none" w:sz="0" w:space="0" w:color="auto"/>
        <w:right w:val="none" w:sz="0" w:space="0" w:color="auto"/>
      </w:divBdr>
    </w:div>
    <w:div w:id="495268082">
      <w:bodyDiv w:val="1"/>
      <w:marLeft w:val="0"/>
      <w:marRight w:val="0"/>
      <w:marTop w:val="0"/>
      <w:marBottom w:val="0"/>
      <w:divBdr>
        <w:top w:val="none" w:sz="0" w:space="0" w:color="auto"/>
        <w:left w:val="none" w:sz="0" w:space="0" w:color="auto"/>
        <w:bottom w:val="none" w:sz="0" w:space="0" w:color="auto"/>
        <w:right w:val="none" w:sz="0" w:space="0" w:color="auto"/>
      </w:divBdr>
    </w:div>
    <w:div w:id="850755395">
      <w:bodyDiv w:val="1"/>
      <w:marLeft w:val="0"/>
      <w:marRight w:val="0"/>
      <w:marTop w:val="0"/>
      <w:marBottom w:val="0"/>
      <w:divBdr>
        <w:top w:val="none" w:sz="0" w:space="0" w:color="auto"/>
        <w:left w:val="none" w:sz="0" w:space="0" w:color="auto"/>
        <w:bottom w:val="none" w:sz="0" w:space="0" w:color="auto"/>
        <w:right w:val="none" w:sz="0" w:space="0" w:color="auto"/>
      </w:divBdr>
    </w:div>
    <w:div w:id="876742113">
      <w:bodyDiv w:val="1"/>
      <w:marLeft w:val="0"/>
      <w:marRight w:val="0"/>
      <w:marTop w:val="0"/>
      <w:marBottom w:val="0"/>
      <w:divBdr>
        <w:top w:val="none" w:sz="0" w:space="0" w:color="auto"/>
        <w:left w:val="none" w:sz="0" w:space="0" w:color="auto"/>
        <w:bottom w:val="none" w:sz="0" w:space="0" w:color="auto"/>
        <w:right w:val="none" w:sz="0" w:space="0" w:color="auto"/>
      </w:divBdr>
    </w:div>
    <w:div w:id="1062556537">
      <w:bodyDiv w:val="1"/>
      <w:marLeft w:val="0"/>
      <w:marRight w:val="0"/>
      <w:marTop w:val="0"/>
      <w:marBottom w:val="0"/>
      <w:divBdr>
        <w:top w:val="none" w:sz="0" w:space="0" w:color="auto"/>
        <w:left w:val="none" w:sz="0" w:space="0" w:color="auto"/>
        <w:bottom w:val="none" w:sz="0" w:space="0" w:color="auto"/>
        <w:right w:val="none" w:sz="0" w:space="0" w:color="auto"/>
      </w:divBdr>
    </w:div>
    <w:div w:id="1065370059">
      <w:bodyDiv w:val="1"/>
      <w:marLeft w:val="0"/>
      <w:marRight w:val="0"/>
      <w:marTop w:val="0"/>
      <w:marBottom w:val="0"/>
      <w:divBdr>
        <w:top w:val="none" w:sz="0" w:space="0" w:color="auto"/>
        <w:left w:val="none" w:sz="0" w:space="0" w:color="auto"/>
        <w:bottom w:val="none" w:sz="0" w:space="0" w:color="auto"/>
        <w:right w:val="none" w:sz="0" w:space="0" w:color="auto"/>
      </w:divBdr>
    </w:div>
    <w:div w:id="1076168951">
      <w:bodyDiv w:val="1"/>
      <w:marLeft w:val="0"/>
      <w:marRight w:val="0"/>
      <w:marTop w:val="0"/>
      <w:marBottom w:val="0"/>
      <w:divBdr>
        <w:top w:val="none" w:sz="0" w:space="0" w:color="auto"/>
        <w:left w:val="none" w:sz="0" w:space="0" w:color="auto"/>
        <w:bottom w:val="none" w:sz="0" w:space="0" w:color="auto"/>
        <w:right w:val="none" w:sz="0" w:space="0" w:color="auto"/>
      </w:divBdr>
    </w:div>
    <w:div w:id="1210919839">
      <w:bodyDiv w:val="1"/>
      <w:marLeft w:val="0"/>
      <w:marRight w:val="0"/>
      <w:marTop w:val="0"/>
      <w:marBottom w:val="0"/>
      <w:divBdr>
        <w:top w:val="none" w:sz="0" w:space="0" w:color="auto"/>
        <w:left w:val="none" w:sz="0" w:space="0" w:color="auto"/>
        <w:bottom w:val="none" w:sz="0" w:space="0" w:color="auto"/>
        <w:right w:val="none" w:sz="0" w:space="0" w:color="auto"/>
      </w:divBdr>
    </w:div>
    <w:div w:id="1554850311">
      <w:bodyDiv w:val="1"/>
      <w:marLeft w:val="0"/>
      <w:marRight w:val="0"/>
      <w:marTop w:val="0"/>
      <w:marBottom w:val="0"/>
      <w:divBdr>
        <w:top w:val="none" w:sz="0" w:space="0" w:color="auto"/>
        <w:left w:val="none" w:sz="0" w:space="0" w:color="auto"/>
        <w:bottom w:val="none" w:sz="0" w:space="0" w:color="auto"/>
        <w:right w:val="none" w:sz="0" w:space="0" w:color="auto"/>
      </w:divBdr>
    </w:div>
    <w:div w:id="1577320825">
      <w:bodyDiv w:val="1"/>
      <w:marLeft w:val="0"/>
      <w:marRight w:val="0"/>
      <w:marTop w:val="0"/>
      <w:marBottom w:val="0"/>
      <w:divBdr>
        <w:top w:val="none" w:sz="0" w:space="0" w:color="auto"/>
        <w:left w:val="none" w:sz="0" w:space="0" w:color="auto"/>
        <w:bottom w:val="none" w:sz="0" w:space="0" w:color="auto"/>
        <w:right w:val="none" w:sz="0" w:space="0" w:color="auto"/>
      </w:divBdr>
    </w:div>
    <w:div w:id="1648895684">
      <w:bodyDiv w:val="1"/>
      <w:marLeft w:val="0"/>
      <w:marRight w:val="0"/>
      <w:marTop w:val="0"/>
      <w:marBottom w:val="0"/>
      <w:divBdr>
        <w:top w:val="none" w:sz="0" w:space="0" w:color="auto"/>
        <w:left w:val="none" w:sz="0" w:space="0" w:color="auto"/>
        <w:bottom w:val="none" w:sz="0" w:space="0" w:color="auto"/>
        <w:right w:val="none" w:sz="0" w:space="0" w:color="auto"/>
      </w:divBdr>
    </w:div>
    <w:div w:id="1692024334">
      <w:bodyDiv w:val="1"/>
      <w:marLeft w:val="0"/>
      <w:marRight w:val="0"/>
      <w:marTop w:val="0"/>
      <w:marBottom w:val="0"/>
      <w:divBdr>
        <w:top w:val="none" w:sz="0" w:space="0" w:color="auto"/>
        <w:left w:val="none" w:sz="0" w:space="0" w:color="auto"/>
        <w:bottom w:val="none" w:sz="0" w:space="0" w:color="auto"/>
        <w:right w:val="none" w:sz="0" w:space="0" w:color="auto"/>
      </w:divBdr>
    </w:div>
    <w:div w:id="1890652703">
      <w:bodyDiv w:val="1"/>
      <w:marLeft w:val="0"/>
      <w:marRight w:val="0"/>
      <w:marTop w:val="0"/>
      <w:marBottom w:val="0"/>
      <w:divBdr>
        <w:top w:val="none" w:sz="0" w:space="0" w:color="auto"/>
        <w:left w:val="none" w:sz="0" w:space="0" w:color="auto"/>
        <w:bottom w:val="none" w:sz="0" w:space="0" w:color="auto"/>
        <w:right w:val="none" w:sz="0" w:space="0" w:color="auto"/>
      </w:divBdr>
    </w:div>
    <w:div w:id="2051227534">
      <w:bodyDiv w:val="1"/>
      <w:marLeft w:val="0"/>
      <w:marRight w:val="0"/>
      <w:marTop w:val="0"/>
      <w:marBottom w:val="0"/>
      <w:divBdr>
        <w:top w:val="none" w:sz="0" w:space="0" w:color="auto"/>
        <w:left w:val="none" w:sz="0" w:space="0" w:color="auto"/>
        <w:bottom w:val="none" w:sz="0" w:space="0" w:color="auto"/>
        <w:right w:val="none" w:sz="0" w:space="0" w:color="auto"/>
      </w:divBdr>
    </w:div>
    <w:div w:id="2117361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lfian.andrianto@gmail.com" TargetMode="Externa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akurasi.unram.ac.id/index.php/akurasi" TargetMode="External"/><Relationship Id="rId2" Type="http://schemas.openxmlformats.org/officeDocument/2006/relationships/hyperlink" Target="https://portal.issn.org/resource/ISSN/2685-1059" TargetMode="External"/><Relationship Id="rId1" Type="http://schemas.openxmlformats.org/officeDocument/2006/relationships/hyperlink" Target="https://portal.issn.org/resource/ISSN/2720-9067"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akurasi.unram.ac.id/index.php/akurasi" TargetMode="External"/><Relationship Id="rId2" Type="http://schemas.openxmlformats.org/officeDocument/2006/relationships/hyperlink" Target="https://portal.issn.org/resource/ISSN/2685-1059" TargetMode="External"/><Relationship Id="rId1" Type="http://schemas.openxmlformats.org/officeDocument/2006/relationships/hyperlink" Target="https://portal.issn.org/resource/ISSN/2720-9067"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oi.org/10.29303/akurasi.v8i2.774" TargetMode="External"/><Relationship Id="rId2" Type="http://schemas.openxmlformats.org/officeDocument/2006/relationships/hyperlink" Target="https://creativecommons.org/licenses/by-sa/4.0/"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bg1">
                  <a:lumMod val="85000"/>
                </a:schemeClr>
              </a:solidFill>
              <a:ln>
                <a:noFill/>
              </a:ln>
              <a:effectLst/>
            </c:spPr>
            <c:extLst>
              <c:ext xmlns:c16="http://schemas.microsoft.com/office/drawing/2014/chart" uri="{C3380CC4-5D6E-409C-BE32-E72D297353CC}">
                <c16:uniqueId val="{00000001-BB50-4888-8363-F33D33FDC1DB}"/>
              </c:ext>
            </c:extLst>
          </c:dPt>
          <c:dPt>
            <c:idx val="1"/>
            <c:bubble3D val="0"/>
            <c:spPr>
              <a:solidFill>
                <a:schemeClr val="bg1">
                  <a:lumMod val="7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2-BB50-4888-8363-F33D33FDC1DB}"/>
              </c:ext>
            </c:extLst>
          </c:dPt>
          <c:dPt>
            <c:idx val="2"/>
            <c:bubble3D val="0"/>
            <c:spPr>
              <a:solidFill>
                <a:schemeClr val="bg1">
                  <a:lumMod val="6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BB50-4888-8363-F33D33FDC1DB}"/>
              </c:ext>
            </c:extLst>
          </c:dPt>
          <c:cat>
            <c:strRef>
              <c:f>Sheet1!$A$2:$A$4</c:f>
              <c:strCache>
                <c:ptCount val="3"/>
                <c:pt idx="0">
                  <c:v>Governance</c:v>
                </c:pt>
                <c:pt idx="1">
                  <c:v>Social</c:v>
                </c:pt>
                <c:pt idx="2">
                  <c:v>Environmental</c:v>
                </c:pt>
              </c:strCache>
            </c:strRef>
          </c:cat>
          <c:val>
            <c:numRef>
              <c:f>Sheet1!$B$2:$B$4</c:f>
              <c:numCache>
                <c:formatCode>General</c:formatCode>
                <c:ptCount val="3"/>
                <c:pt idx="0">
                  <c:v>14</c:v>
                </c:pt>
                <c:pt idx="1">
                  <c:v>1</c:v>
                </c:pt>
                <c:pt idx="2">
                  <c:v>2</c:v>
                </c:pt>
              </c:numCache>
            </c:numRef>
          </c:val>
          <c:extLst>
            <c:ext xmlns:c16="http://schemas.microsoft.com/office/drawing/2014/chart" uri="{C3380CC4-5D6E-409C-BE32-E72D297353CC}">
              <c16:uniqueId val="{00000000-BB50-4888-8363-F33D33FDC1D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Sales</c:v>
                </c:pt>
              </c:strCache>
            </c:strRef>
          </c:tx>
          <c:spPr>
            <a:effectLst/>
          </c:spPr>
          <c:dPt>
            <c:idx val="0"/>
            <c:bubble3D val="0"/>
            <c:spPr>
              <a:solidFill>
                <a:schemeClr val="bg1">
                  <a:lumMod val="85000"/>
                </a:schemeClr>
              </a:solidFill>
              <a:ln>
                <a:noFill/>
              </a:ln>
              <a:effectLst/>
            </c:spPr>
            <c:extLst>
              <c:ext xmlns:c16="http://schemas.microsoft.com/office/drawing/2014/chart" uri="{C3380CC4-5D6E-409C-BE32-E72D297353CC}">
                <c16:uniqueId val="{00000001-6F31-4617-88A0-74130F65C922}"/>
              </c:ext>
            </c:extLst>
          </c:dPt>
          <c:dPt>
            <c:idx val="1"/>
            <c:bubble3D val="0"/>
            <c:spPr>
              <a:solidFill>
                <a:schemeClr val="bg1">
                  <a:lumMod val="75000"/>
                </a:schemeClr>
              </a:solidFill>
              <a:ln>
                <a:noFill/>
              </a:ln>
              <a:effectLst/>
            </c:spPr>
            <c:extLst>
              <c:ext xmlns:c16="http://schemas.microsoft.com/office/drawing/2014/chart" uri="{C3380CC4-5D6E-409C-BE32-E72D297353CC}">
                <c16:uniqueId val="{00000002-6F31-4617-88A0-74130F65C922}"/>
              </c:ext>
            </c:extLst>
          </c:dPt>
          <c:dPt>
            <c:idx val="2"/>
            <c:bubble3D val="0"/>
            <c:spPr>
              <a:solidFill>
                <a:schemeClr val="bg1">
                  <a:lumMod val="65000"/>
                </a:schemeClr>
              </a:solidFill>
              <a:ln>
                <a:noFill/>
              </a:ln>
              <a:effectLst/>
            </c:spPr>
            <c:extLst>
              <c:ext xmlns:c16="http://schemas.microsoft.com/office/drawing/2014/chart" uri="{C3380CC4-5D6E-409C-BE32-E72D297353CC}">
                <c16:uniqueId val="{00000003-6F31-4617-88A0-74130F65C922}"/>
              </c:ext>
            </c:extLst>
          </c:dPt>
          <c:cat>
            <c:strRef>
              <c:f>Sheet1!$A$2:$A$4</c:f>
              <c:strCache>
                <c:ptCount val="3"/>
                <c:pt idx="0">
                  <c:v>Governance</c:v>
                </c:pt>
                <c:pt idx="1">
                  <c:v>Social</c:v>
                </c:pt>
                <c:pt idx="2">
                  <c:v>Environmental</c:v>
                </c:pt>
              </c:strCache>
            </c:strRef>
          </c:cat>
          <c:val>
            <c:numRef>
              <c:f>Sheet1!$B$2:$B$4</c:f>
              <c:numCache>
                <c:formatCode>General</c:formatCode>
                <c:ptCount val="3"/>
                <c:pt idx="0">
                  <c:v>113</c:v>
                </c:pt>
                <c:pt idx="1">
                  <c:v>13</c:v>
                </c:pt>
                <c:pt idx="2">
                  <c:v>3</c:v>
                </c:pt>
              </c:numCache>
            </c:numRef>
          </c:val>
          <c:extLst>
            <c:ext xmlns:c16="http://schemas.microsoft.com/office/drawing/2014/chart" uri="{C3380CC4-5D6E-409C-BE32-E72D297353CC}">
              <c16:uniqueId val="{00000000-6F31-4617-88A0-74130F65C92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FB9E8E-6993-644E-A33F-B4113B552E8F}">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4M2LnhGzZ0kxqEEA85tepB+eg==">CgMxLjA4AHIhMUJHOVJpUVA4MjB4alFPSE43b2R2UWJnOUd3OGF0Nlhr</go:docsCustomData>
</go:gDocsCustomXmlDataStorage>
</file>

<file path=customXml/itemProps1.xml><?xml version="1.0" encoding="utf-8"?>
<ds:datastoreItem xmlns:ds="http://schemas.openxmlformats.org/officeDocument/2006/customXml" ds:itemID="{27E3D9E7-E0C5-4787-83F5-A06DB3D413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24456</Words>
  <Characters>154079</Characters>
  <Application>Microsoft Office Word</Application>
  <DocSecurity>0</DocSecurity>
  <Lines>3423</Lines>
  <Paragraphs>1767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 setiawan</dc:creator>
  <cp:lastModifiedBy>prabu13</cp:lastModifiedBy>
  <cp:revision>10</cp:revision>
  <cp:lastPrinted>2025-12-27T23:53:00Z</cp:lastPrinted>
  <dcterms:created xsi:type="dcterms:W3CDTF">2025-12-22T10:38:00Z</dcterms:created>
  <dcterms:modified xsi:type="dcterms:W3CDTF">2025-12-27T23:53:00Z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5467b207-a3e9-3605-a252-ad970384815a</vt:lpwstr>
  </property>
  <property fmtid="{D5CDD505-2E9C-101B-9397-08002B2CF9AE}" pid="24" name="Mendeley Citation Style_1">
    <vt:lpwstr>http://www.zotero.org/styles/apa</vt:lpwstr>
  </property>
  <property fmtid="{D5CDD505-2E9C-101B-9397-08002B2CF9AE}" pid="25" name="grammarly_documentId">
    <vt:lpwstr>documentId_5125</vt:lpwstr>
  </property>
  <property fmtid="{D5CDD505-2E9C-101B-9397-08002B2CF9AE}" pid="26" name="grammarly_documentContext">
    <vt:lpwstr>{"goals":[],"domain":"general","emotions":[],"dialect":"american"}</vt:lpwstr>
  </property>
</Properties>
</file>